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44E2" w14:textId="77777777" w:rsidR="002B7548" w:rsidRDefault="002B7548" w:rsidP="00DF11E8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hAnsi="Times New Roman" w:cs="Times New Roman"/>
        </w:rPr>
      </w:pPr>
    </w:p>
    <w:p w14:paraId="0CA579F5" w14:textId="77777777" w:rsidR="00475D9D" w:rsidRPr="007B15DF" w:rsidRDefault="00475D9D" w:rsidP="00DF11E8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hAnsi="Times New Roman" w:cs="Times New Roman"/>
        </w:rPr>
      </w:pPr>
      <w:r w:rsidRPr="007B15DF">
        <w:rPr>
          <w:rFonts w:ascii="Times New Roman" w:hAnsi="Times New Roman" w:cs="Times New Roman"/>
        </w:rPr>
        <w:t>GRUPO DE TRABALHO CONJUNTO DE CÚPULAS</w:t>
      </w:r>
      <w:r w:rsidR="00DF11E8">
        <w:rPr>
          <w:rFonts w:ascii="Times New Roman" w:hAnsi="Times New Roman" w:cs="Times New Roman"/>
        </w:rPr>
        <w:tab/>
      </w:r>
      <w:r w:rsidR="00DF11E8">
        <w:rPr>
          <w:rFonts w:ascii="Times New Roman" w:hAnsi="Times New Roman" w:cs="Times New Roman"/>
        </w:rPr>
        <w:tab/>
      </w:r>
      <w:r w:rsidR="00DF11E8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>OEA/Ser.E</w:t>
      </w:r>
    </w:p>
    <w:p w14:paraId="4344560A" w14:textId="5FFE514A" w:rsidR="00475D9D" w:rsidRPr="007B15DF" w:rsidRDefault="00475D9D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hAnsi="Times New Roman" w:cs="Times New Roman"/>
        </w:rPr>
      </w:pPr>
      <w:r w:rsidRPr="007B15DF">
        <w:rPr>
          <w:rFonts w:ascii="Times New Roman" w:hAnsi="Times New Roman" w:cs="Times New Roman"/>
        </w:rPr>
        <w:t>Reunião de Altas Autoridades</w:t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  <w:t>GTCC/doc.73/20</w:t>
      </w:r>
      <w:r w:rsidR="000A15BC">
        <w:rPr>
          <w:rFonts w:ascii="Times New Roman" w:hAnsi="Times New Roman" w:cs="Times New Roman"/>
        </w:rPr>
        <w:t>rev.1corr.1</w:t>
      </w:r>
    </w:p>
    <w:p w14:paraId="2FA593A7" w14:textId="77777777" w:rsidR="00475D9D" w:rsidRPr="007B15DF" w:rsidRDefault="00475D9D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hAnsi="Times New Roman" w:cs="Times New Roman"/>
        </w:rPr>
      </w:pPr>
      <w:r w:rsidRPr="007B15DF">
        <w:rPr>
          <w:rFonts w:ascii="Times New Roman" w:hAnsi="Times New Roman" w:cs="Times New Roman"/>
        </w:rPr>
        <w:t>3 de abril de 2020</w:t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  <w:t>6 abril 2020</w:t>
      </w:r>
    </w:p>
    <w:p w14:paraId="7E1E3539" w14:textId="77777777" w:rsidR="00475D9D" w:rsidRPr="007B15DF" w:rsidRDefault="00475D9D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hAnsi="Times New Roman" w:cs="Times New Roman"/>
        </w:rPr>
      </w:pPr>
      <w:r w:rsidRPr="007B15DF">
        <w:rPr>
          <w:rFonts w:ascii="Times New Roman" w:hAnsi="Times New Roman" w:cs="Times New Roman"/>
        </w:rPr>
        <w:t>Washington, D.C.</w:t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</w:r>
      <w:r w:rsidRPr="007B15DF">
        <w:rPr>
          <w:rFonts w:ascii="Times New Roman" w:hAnsi="Times New Roman" w:cs="Times New Roman"/>
        </w:rPr>
        <w:tab/>
        <w:t>Original: espanhol</w:t>
      </w:r>
    </w:p>
    <w:p w14:paraId="67ECB774" w14:textId="77777777" w:rsidR="00475D9D" w:rsidRPr="007B15DF" w:rsidRDefault="00475D9D">
      <w:pPr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b/>
          <w:bCs/>
          <w:kern w:val="36"/>
          <w:u w:val="single"/>
        </w:rPr>
      </w:pPr>
    </w:p>
    <w:p w14:paraId="7F46BE9E" w14:textId="77777777" w:rsidR="00475D9D" w:rsidRPr="007B15DF" w:rsidRDefault="00475D9D" w:rsidP="002B7548">
      <w:pPr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b/>
          <w:bCs/>
        </w:rPr>
      </w:pPr>
    </w:p>
    <w:p w14:paraId="580BBFAA" w14:textId="77777777" w:rsidR="00475D9D" w:rsidRPr="007B15DF" w:rsidRDefault="00475D9D" w:rsidP="002B7548">
      <w:pPr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b/>
          <w:bCs/>
        </w:rPr>
      </w:pPr>
    </w:p>
    <w:p w14:paraId="55C4B7CB" w14:textId="77777777" w:rsidR="00475D9D" w:rsidRPr="002B7548" w:rsidRDefault="00475D9D" w:rsidP="002B7548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 xml:space="preserve">RELATÓRIO FINAL </w:t>
      </w:r>
    </w:p>
    <w:p w14:paraId="76CBDB2E" w14:textId="77777777" w:rsidR="00475D9D" w:rsidRPr="002B7548" w:rsidRDefault="00475D9D" w:rsidP="002B7548">
      <w:pPr>
        <w:autoSpaceDE w:val="0"/>
        <w:autoSpaceDN w:val="0"/>
        <w:adjustRightInd w:val="0"/>
        <w:spacing w:after="0" w:line="240" w:lineRule="auto"/>
        <w:ind w:right="-29"/>
        <w:rPr>
          <w:rFonts w:ascii="Times New Roman" w:hAnsi="Times New Roman" w:cs="Times New Roman"/>
          <w:b/>
          <w:bCs/>
        </w:rPr>
      </w:pPr>
    </w:p>
    <w:p w14:paraId="05A47E42" w14:textId="77777777" w:rsidR="00475D9D" w:rsidRPr="002B7548" w:rsidRDefault="00475D9D" w:rsidP="002B7548">
      <w:pPr>
        <w:autoSpaceDE w:val="0"/>
        <w:autoSpaceDN w:val="0"/>
        <w:adjustRightInd w:val="0"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>Reunião de Altas Autoridades do Grupo de Trabalho Conjunto de Cúpulas (GTCC) sobre o Impacto do COVID-19 nas Américas</w:t>
      </w:r>
    </w:p>
    <w:p w14:paraId="128C57E9" w14:textId="77777777" w:rsidR="00475D9D" w:rsidRPr="002B7548" w:rsidRDefault="00475D9D" w:rsidP="002B7548">
      <w:pPr>
        <w:autoSpaceDE w:val="0"/>
        <w:autoSpaceDN w:val="0"/>
        <w:adjustRightInd w:val="0"/>
        <w:spacing w:after="0" w:line="240" w:lineRule="auto"/>
        <w:ind w:right="-1260"/>
        <w:rPr>
          <w:rFonts w:ascii="Times New Roman" w:hAnsi="Times New Roman" w:cs="Times New Roman"/>
        </w:rPr>
      </w:pPr>
    </w:p>
    <w:p w14:paraId="2D154662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14:paraId="2439F50B" w14:textId="0606BDCD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  <w:r w:rsidRPr="002B7548">
        <w:rPr>
          <w:rFonts w:ascii="Times New Roman" w:hAnsi="Times New Roman" w:cs="Times New Roman"/>
          <w:kern w:val="36"/>
        </w:rPr>
        <w:t>A Reunião de Altas Autoridades do Grupo Trabalho Conjunto de Cúpulas (GTCC)</w:t>
      </w:r>
      <w:r w:rsidR="00240C21" w:rsidRPr="002B7548">
        <w:rPr>
          <w:rStyle w:val="FootnoteReference"/>
          <w:rFonts w:ascii="Times New Roman" w:hAnsi="Times New Roman" w:cs="Times New Roman"/>
          <w:kern w:val="36"/>
        </w:rPr>
        <w:t xml:space="preserve"> </w:t>
      </w:r>
      <w:r w:rsidR="00B340D0">
        <w:rPr>
          <w:rStyle w:val="EndnoteReference"/>
          <w:rFonts w:ascii="Times New Roman" w:hAnsi="Times New Roman" w:cs="Times New Roman"/>
          <w:kern w:val="36"/>
        </w:rPr>
        <w:endnoteReference w:id="1"/>
      </w:r>
      <w:r w:rsidRPr="002B7548">
        <w:rPr>
          <w:rFonts w:ascii="Times New Roman" w:hAnsi="Times New Roman" w:cs="Times New Roman"/>
          <w:kern w:val="36"/>
        </w:rPr>
        <w:t xml:space="preserve"> sobre o Impacto do COVID-19 nas Américas foi realizada em 3 de abril de 2020 por teleconferência. Foi convocada pelo Secretário-Geral da Organização dos Estados Americanos (OEA), Senhor Luis Almagro, na condição de Presidente do GTCC, com a Doutora Carissa F. Etienne, Diretora da Organização Pan-Americana da Saúde (OPAS).</w:t>
      </w:r>
      <w:r w:rsidR="00DF11E8" w:rsidRPr="002B7548">
        <w:rPr>
          <w:rFonts w:ascii="Times New Roman" w:hAnsi="Times New Roman" w:cs="Times New Roman"/>
          <w:kern w:val="36"/>
        </w:rPr>
        <w:t xml:space="preserve"> </w:t>
      </w:r>
    </w:p>
    <w:p w14:paraId="5E7A7FDC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14:paraId="1C880519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  <w:kern w:val="36"/>
        </w:rPr>
        <w:t>O objetivo da reunião foi tratar da situação da região com relação à pandemia do COVID-19, conhecer os trabalhos que as organizações que integram o GTCC estão desenvolvendo na região frente à pandemia e discutir uma resposta coordenada e conjunta</w:t>
      </w:r>
      <w:r w:rsidRPr="002B7548">
        <w:rPr>
          <w:rFonts w:ascii="Times New Roman" w:hAnsi="Times New Roman" w:cs="Times New Roman"/>
        </w:rPr>
        <w:t>.</w:t>
      </w:r>
    </w:p>
    <w:p w14:paraId="29385252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kern w:val="36"/>
        </w:rPr>
      </w:pPr>
    </w:p>
    <w:p w14:paraId="70BADD24" w14:textId="77777777" w:rsidR="00475D9D" w:rsidRPr="002B7548" w:rsidRDefault="00475D9D" w:rsidP="00365E29">
      <w:pPr>
        <w:numPr>
          <w:ilvl w:val="0"/>
          <w:numId w:val="42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  <w:shd w:val="clear" w:color="auto" w:fill="FFFFFF"/>
        </w:rPr>
        <w:t>Boas-vindas do Secretário-Geral da OEA e Presidente do Grupo de Trabalho Conjunto de Cúpulas (GTCC), Luis Almagro Lemes</w:t>
      </w:r>
    </w:p>
    <w:p w14:paraId="4BC2A79D" w14:textId="77777777" w:rsidR="00365E29" w:rsidRDefault="00365E29" w:rsidP="002B75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Style w:val="None"/>
          <w:rFonts w:ascii="Times New Roman" w:hAnsi="Times New Roman" w:cs="Times New Roman"/>
          <w:color w:val="auto"/>
        </w:rPr>
      </w:pPr>
    </w:p>
    <w:p w14:paraId="05A4FD58" w14:textId="77777777" w:rsidR="00475D9D" w:rsidRPr="002B7548" w:rsidRDefault="00475D9D" w:rsidP="002B75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Style w:val="None"/>
          <w:rFonts w:ascii="Times New Roman" w:hAnsi="Times New Roman" w:cs="Times New Roman"/>
          <w:color w:val="auto"/>
        </w:rPr>
      </w:pPr>
      <w:r w:rsidRPr="002B7548">
        <w:rPr>
          <w:rStyle w:val="None"/>
          <w:rFonts w:ascii="Times New Roman" w:hAnsi="Times New Roman" w:cs="Times New Roman"/>
          <w:color w:val="auto"/>
        </w:rPr>
        <w:t>Nas suas palavras de boas-vindas, o Secretário-Geral da OEA agradeceu a participação na reunião centrada no estado de emergência de saúde pública gerad</w:t>
      </w:r>
      <w:r w:rsidR="00DF11E8" w:rsidRPr="002B7548">
        <w:rPr>
          <w:rStyle w:val="None"/>
          <w:rFonts w:ascii="Times New Roman" w:hAnsi="Times New Roman" w:cs="Times New Roman"/>
          <w:color w:val="auto"/>
        </w:rPr>
        <w:t>a</w:t>
      </w:r>
      <w:r w:rsidRPr="002B7548">
        <w:rPr>
          <w:rStyle w:val="None"/>
          <w:rFonts w:ascii="Times New Roman" w:hAnsi="Times New Roman" w:cs="Times New Roman"/>
          <w:color w:val="auto"/>
        </w:rPr>
        <w:t xml:space="preserve"> pelo surto e pela propagação do Coronavírus (COVID-19) a fim de se criar uma instância multissetorial de coordenação e resposta em apoio à missão da OPAS e, em especial, aos países da região. </w:t>
      </w:r>
    </w:p>
    <w:p w14:paraId="2597BB23" w14:textId="77777777" w:rsidR="00365E29" w:rsidRDefault="00365E29" w:rsidP="002B75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Style w:val="None"/>
          <w:rFonts w:ascii="Times New Roman" w:hAnsi="Times New Roman" w:cs="Times New Roman"/>
          <w:color w:val="auto"/>
        </w:rPr>
      </w:pPr>
    </w:p>
    <w:p w14:paraId="48F300F6" w14:textId="77777777" w:rsidR="00475D9D" w:rsidRPr="002B7548" w:rsidRDefault="00475D9D" w:rsidP="002B75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2B7548">
        <w:rPr>
          <w:rStyle w:val="None"/>
          <w:rFonts w:ascii="Times New Roman" w:hAnsi="Times New Roman" w:cs="Times New Roman"/>
          <w:color w:val="auto"/>
        </w:rPr>
        <w:t>O Secretário-Geral fez um apelo a que se</w:t>
      </w:r>
      <w:r w:rsidR="00DF11E8" w:rsidRPr="002B7548">
        <w:rPr>
          <w:rStyle w:val="None"/>
          <w:rFonts w:ascii="Times New Roman" w:hAnsi="Times New Roman" w:cs="Times New Roman"/>
          <w:color w:val="auto"/>
        </w:rPr>
        <w:t>jam</w:t>
      </w:r>
      <w:r w:rsidRPr="002B7548">
        <w:rPr>
          <w:rStyle w:val="None"/>
          <w:rFonts w:ascii="Times New Roman" w:hAnsi="Times New Roman" w:cs="Times New Roman"/>
          <w:color w:val="auto"/>
        </w:rPr>
        <w:t xml:space="preserve"> identifi</w:t>
      </w:r>
      <w:r w:rsidR="00DF11E8" w:rsidRPr="002B7548">
        <w:rPr>
          <w:rStyle w:val="None"/>
          <w:rFonts w:ascii="Times New Roman" w:hAnsi="Times New Roman" w:cs="Times New Roman"/>
          <w:color w:val="auto"/>
        </w:rPr>
        <w:t xml:space="preserve">cados </w:t>
      </w:r>
      <w:r w:rsidRPr="002B7548">
        <w:rPr>
          <w:rStyle w:val="None"/>
          <w:rFonts w:ascii="Times New Roman" w:hAnsi="Times New Roman" w:cs="Times New Roman"/>
          <w:color w:val="auto"/>
        </w:rPr>
        <w:t xml:space="preserve">mecanismos de apoio social </w:t>
      </w:r>
      <w:r w:rsidR="00DF11E8" w:rsidRPr="002B7548">
        <w:rPr>
          <w:rStyle w:val="None"/>
          <w:rFonts w:ascii="Times New Roman" w:hAnsi="Times New Roman" w:cs="Times New Roman"/>
          <w:color w:val="auto"/>
        </w:rPr>
        <w:t>às</w:t>
      </w:r>
      <w:r w:rsidRPr="002B7548">
        <w:rPr>
          <w:rStyle w:val="None"/>
          <w:rFonts w:ascii="Times New Roman" w:hAnsi="Times New Roman" w:cs="Times New Roman"/>
          <w:color w:val="auto"/>
        </w:rPr>
        <w:t xml:space="preserve"> populações vulneráveis afetadas de formas variadas, respeitando-se a dimensão de gênero na resposta</w:t>
      </w:r>
      <w:r w:rsidR="00DF11E8" w:rsidRPr="002B7548">
        <w:rPr>
          <w:rStyle w:val="None"/>
          <w:rFonts w:ascii="Times New Roman" w:hAnsi="Times New Roman" w:cs="Times New Roman"/>
          <w:color w:val="auto"/>
        </w:rPr>
        <w:t>,</w:t>
      </w:r>
      <w:r w:rsidRPr="002B7548">
        <w:rPr>
          <w:rStyle w:val="None"/>
          <w:rFonts w:ascii="Times New Roman" w:hAnsi="Times New Roman" w:cs="Times New Roman"/>
          <w:color w:val="auto"/>
        </w:rPr>
        <w:t xml:space="preserve"> posto que são as mulheres que recebem com mais intensidade o impacto da crise por constituírem 70% da força de trabalho no setor de saúde e nos setores produtivos, especialmente nas microempresas da</w:t>
      </w:r>
      <w:bookmarkStart w:id="0" w:name="_Hlk36918162"/>
      <w:r w:rsidRPr="002B7548">
        <w:rPr>
          <w:rStyle w:val="None"/>
          <w:rFonts w:ascii="Times New Roman" w:hAnsi="Times New Roman" w:cs="Times New Roman"/>
          <w:color w:val="auto"/>
        </w:rPr>
        <w:t xml:space="preserve"> </w:t>
      </w:r>
      <w:bookmarkEnd w:id="0"/>
      <w:r w:rsidRPr="002B7548">
        <w:rPr>
          <w:rStyle w:val="None"/>
          <w:rFonts w:ascii="Times New Roman" w:hAnsi="Times New Roman" w:cs="Times New Roman"/>
          <w:color w:val="auto"/>
        </w:rPr>
        <w:t>região</w:t>
      </w:r>
      <w:r w:rsidRPr="002B7548">
        <w:rPr>
          <w:rFonts w:ascii="Times New Roman" w:hAnsi="Times New Roman" w:cs="Times New Roman"/>
          <w:color w:val="auto"/>
        </w:rPr>
        <w:t xml:space="preserve">. Também destacou o impacto das medidas de confinamento social, que aumentaram os riscos de violência contra as mulheres, especialmente a violência doméstica. </w:t>
      </w:r>
    </w:p>
    <w:p w14:paraId="2D78AFA4" w14:textId="77777777" w:rsidR="00365E29" w:rsidRDefault="00365E29" w:rsidP="002B754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F6EAFE" w14:textId="77777777" w:rsidR="00475D9D" w:rsidRPr="002B7548" w:rsidRDefault="00475D9D" w:rsidP="00365E2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  <w:b/>
          <w:bCs/>
        </w:rPr>
        <w:t xml:space="preserve">2. </w:t>
      </w:r>
      <w:r w:rsidRPr="002B7548">
        <w:rPr>
          <w:rFonts w:ascii="Times New Roman" w:hAnsi="Times New Roman" w:cs="Times New Roman"/>
          <w:b/>
          <w:bCs/>
        </w:rPr>
        <w:tab/>
        <w:t xml:space="preserve">Estado de emergência da pandemia do COVID-19 </w:t>
      </w:r>
    </w:p>
    <w:p w14:paraId="60A1BF87" w14:textId="77777777" w:rsidR="00365E29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3D9328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A Doutora Carissa F. Etienne, Diretora da OPAS, apresentou um panorama atualizado das medidas de preparação e resposta nas Américas em torno de quatro objetivos: a) garantir as informações em tempo real aos países e a coordenação eficiente das operações de resposta nacionais e regionais; b) limitar a transmissão entre pessoas e a ampliação de eventos de transmissão; c) identificar, isolar e atender proativamente os pacientes; e e) comunicar informações críticas sobre riscos e eventos à comunidade e combater informações erradas. </w:t>
      </w:r>
    </w:p>
    <w:p w14:paraId="2D433BB3" w14:textId="77777777" w:rsidR="00365E29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561786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lastRenderedPageBreak/>
        <w:t>Informou que, até 2 de abril</w:t>
      </w:r>
      <w:r w:rsidR="00DF11E8" w:rsidRPr="002B7548">
        <w:rPr>
          <w:rFonts w:ascii="Times New Roman" w:hAnsi="Times New Roman" w:cs="Times New Roman"/>
        </w:rPr>
        <w:t xml:space="preserve"> de 2020</w:t>
      </w:r>
      <w:r w:rsidRPr="002B7548">
        <w:rPr>
          <w:rFonts w:ascii="Times New Roman" w:hAnsi="Times New Roman" w:cs="Times New Roman"/>
        </w:rPr>
        <w:t>, 51 países e territórios tinham apresentado 247.473 casos confirmados do COVID-19 e 5.600 mortes. As informações apontam um aumento de 14% no número de casos e de 23% no número de mortes.</w:t>
      </w:r>
      <w:r w:rsidR="00DF11E8" w:rsidRPr="002B7548">
        <w:rPr>
          <w:rFonts w:ascii="Times New Roman" w:hAnsi="Times New Roman" w:cs="Times New Roman"/>
        </w:rPr>
        <w:t xml:space="preserve"> </w:t>
      </w:r>
      <w:r w:rsidRPr="002B7548">
        <w:rPr>
          <w:rFonts w:ascii="Times New Roman" w:hAnsi="Times New Roman" w:cs="Times New Roman"/>
        </w:rPr>
        <w:t>Os Estados Unidos respondem por 86% desses casos, seguidos de Canadá, Brasil, Chile e Equador. Além disso, relatou que 33 dos 35 países da região tinham adotado o fechamento de fronteiras, ficando as exceções por conta do México e da Nicarágua. Os países com maior número de casos confirmados ampliaram a vigilância e implementaram mais testes de laboratório.</w:t>
      </w:r>
    </w:p>
    <w:p w14:paraId="0CD12CD3" w14:textId="77777777" w:rsidR="00365E29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B15685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Quase todos os países da região declararam emergência nacional e estão trabalhando 24 horas por dia para criar instalações de saúde na luta contra o COVID-19. </w:t>
      </w:r>
    </w:p>
    <w:p w14:paraId="61510B2D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269589" w14:textId="77777777" w:rsidR="00475D9D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 xml:space="preserve">Medidas </w:t>
      </w:r>
      <w:r w:rsidR="00DF11E8" w:rsidRPr="002B7548">
        <w:rPr>
          <w:rFonts w:ascii="Times New Roman" w:hAnsi="Times New Roman" w:cs="Times New Roman"/>
          <w:b/>
          <w:bCs/>
        </w:rPr>
        <w:t xml:space="preserve">na </w:t>
      </w:r>
      <w:r w:rsidRPr="002B7548">
        <w:rPr>
          <w:rFonts w:ascii="Times New Roman" w:hAnsi="Times New Roman" w:cs="Times New Roman"/>
          <w:b/>
          <w:bCs/>
        </w:rPr>
        <w:t xml:space="preserve">fase de preparação </w:t>
      </w:r>
    </w:p>
    <w:p w14:paraId="4C43A0F4" w14:textId="77777777" w:rsidR="00365E29" w:rsidRPr="002B7548" w:rsidRDefault="00365E29" w:rsidP="002B75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8297F7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  <w:shd w:val="clear" w:color="auto" w:fill="F8F9FA"/>
        </w:rPr>
      </w:pPr>
      <w:r w:rsidRPr="002B7548">
        <w:rPr>
          <w:rFonts w:ascii="Times New Roman" w:hAnsi="Times New Roman" w:cs="Times New Roman"/>
        </w:rPr>
        <w:t>Os países da região estão fortalecendo as suas capacidades nacionais para responder a surtos de infeções respiratórias agudas graves (IRA</w:t>
      </w:r>
      <w:r w:rsidRPr="002B7548">
        <w:rPr>
          <w:rFonts w:ascii="Times New Roman" w:hAnsi="Times New Roman" w:cs="Times New Roman"/>
          <w:shd w:val="clear" w:color="auto" w:fill="F8F9FA"/>
        </w:rPr>
        <w:t>G</w:t>
      </w:r>
      <w:r w:rsidRPr="002B7548">
        <w:rPr>
          <w:rFonts w:ascii="Times New Roman" w:hAnsi="Times New Roman" w:cs="Times New Roman"/>
        </w:rPr>
        <w:t xml:space="preserve">). </w:t>
      </w:r>
    </w:p>
    <w:p w14:paraId="020CCB15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  <w:shd w:val="clear" w:color="auto" w:fill="F8F9FA"/>
        </w:rPr>
      </w:pPr>
      <w:r w:rsidRPr="002B7548">
        <w:rPr>
          <w:rFonts w:ascii="Times New Roman" w:hAnsi="Times New Roman" w:cs="Times New Roman"/>
        </w:rPr>
        <w:t>Existem cerca de 700 locais de vigilância de IRAG na região.</w:t>
      </w:r>
    </w:p>
    <w:p w14:paraId="3FD78AC5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  <w:shd w:val="clear" w:color="auto" w:fill="F8F9FA"/>
        </w:rPr>
      </w:pPr>
      <w:r w:rsidRPr="002B7548">
        <w:rPr>
          <w:rFonts w:ascii="Times New Roman" w:hAnsi="Times New Roman" w:cs="Times New Roman"/>
        </w:rPr>
        <w:t>A capacidade de realização de testes para detecção do COVID-19 está sendo reforçada em 31 países. Todos os países estão desenvolvendo planos nacionais de preparação para a gripe pandêmica e fortalecendo as funções essenciais de saúde pública, bem como avaliando as suas capacidades em conformidade com o Regulamento Sanitário Internacional</w:t>
      </w:r>
      <w:r w:rsidR="00DF11E8" w:rsidRPr="002B7548">
        <w:rPr>
          <w:rFonts w:ascii="Times New Roman" w:hAnsi="Times New Roman" w:cs="Times New Roman"/>
        </w:rPr>
        <w:t xml:space="preserve"> (RSI)</w:t>
      </w:r>
      <w:r w:rsidRPr="002B7548">
        <w:rPr>
          <w:rFonts w:ascii="Times New Roman" w:hAnsi="Times New Roman" w:cs="Times New Roman"/>
        </w:rPr>
        <w:t>.</w:t>
      </w:r>
    </w:p>
    <w:p w14:paraId="4AF36C81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965F89" w14:textId="77777777" w:rsidR="00475D9D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 xml:space="preserve">Medidas </w:t>
      </w:r>
      <w:r w:rsidR="00DF11E8" w:rsidRPr="002B7548">
        <w:rPr>
          <w:rFonts w:ascii="Times New Roman" w:hAnsi="Times New Roman" w:cs="Times New Roman"/>
          <w:b/>
          <w:bCs/>
        </w:rPr>
        <w:t>na</w:t>
      </w:r>
      <w:r w:rsidRPr="002B7548">
        <w:rPr>
          <w:rFonts w:ascii="Times New Roman" w:hAnsi="Times New Roman" w:cs="Times New Roman"/>
          <w:b/>
          <w:bCs/>
        </w:rPr>
        <w:t xml:space="preserve"> fase de respost</w:t>
      </w:r>
      <w:r w:rsidR="00DF11E8" w:rsidRPr="002B7548">
        <w:rPr>
          <w:rFonts w:ascii="Times New Roman" w:hAnsi="Times New Roman" w:cs="Times New Roman"/>
          <w:b/>
          <w:bCs/>
        </w:rPr>
        <w:t>a</w:t>
      </w:r>
    </w:p>
    <w:p w14:paraId="5EDC0055" w14:textId="77777777" w:rsidR="00365E29" w:rsidRPr="002B7548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059692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Envio de atualizações diárias a todos os Estados membros por meio do Ponto Focal Nacional estabelecido no R</w:t>
      </w:r>
      <w:r w:rsidR="00DF11E8" w:rsidRPr="002B7548">
        <w:rPr>
          <w:rFonts w:ascii="Times New Roman" w:hAnsi="Times New Roman" w:cs="Times New Roman"/>
        </w:rPr>
        <w:t xml:space="preserve">SI </w:t>
      </w:r>
      <w:r w:rsidRPr="002B7548">
        <w:rPr>
          <w:rFonts w:ascii="Times New Roman" w:hAnsi="Times New Roman" w:cs="Times New Roman"/>
        </w:rPr>
        <w:t>desde 31 de dezembro, e publicação de alertas e atualizações de epidemias sobre novos coro</w:t>
      </w:r>
      <w:r w:rsidR="007B15DF" w:rsidRPr="002B7548">
        <w:rPr>
          <w:rFonts w:ascii="Times New Roman" w:hAnsi="Times New Roman" w:cs="Times New Roman"/>
        </w:rPr>
        <w:t>n</w:t>
      </w:r>
      <w:r w:rsidRPr="002B7548">
        <w:rPr>
          <w:rFonts w:ascii="Times New Roman" w:hAnsi="Times New Roman" w:cs="Times New Roman"/>
        </w:rPr>
        <w:t>avírus desde o mês de janeiro.</w:t>
      </w:r>
    </w:p>
    <w:p w14:paraId="266E22C7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Em 17 de janeiro de 2020, o Escritório Sanitário Pan-Americano ativou uma resposta integral da organização para oferecer aos 51 países e territórios da região cooperação técnica para a abordagem e a mitigação do impacto da pandemia do COVID-19.</w:t>
      </w:r>
    </w:p>
    <w:p w14:paraId="6A38E78F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Apoio aos Estados membros no fortalecimento dos planos nacionais de resposta, o que inclui a análise de lacunas, a vigilância, a detecção de casos e o acompanhamento de contatos, a criação de capacidade laboratorial mediante a provisão de kits de teste, a capacitação, a prevenção e o controle de infecções, bem como o suprimento de equipamento de proteção individual, treinamento, etc. </w:t>
      </w:r>
    </w:p>
    <w:p w14:paraId="24184CCA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Sessões informativas de atualização com os Ministros da Saúde, as Missões Permanentes junto à OEA, as entidades sub-regionais, os Escritórios Nacionais de Gestão de Emergências, agências das Nações Unidas, parceiros internacionais e meios de comunicação.</w:t>
      </w:r>
    </w:p>
    <w:p w14:paraId="5346B42D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Orientação, capacitação e suprimento de equipamentos para vigilância, laboratório, prevenção e controle de infecções, gestão clínica, preparação hospitalar, comunicação de riscos etc.</w:t>
      </w:r>
    </w:p>
    <w:p w14:paraId="5A7B1789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42BFE8" w14:textId="77777777" w:rsidR="00475D9D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>Os múltiplos desafios enfrentados pela região na resposta ao COVID-19</w:t>
      </w:r>
    </w:p>
    <w:p w14:paraId="7EC8F8A6" w14:textId="77777777" w:rsidR="00365E29" w:rsidRPr="002B7548" w:rsidRDefault="00365E29" w:rsidP="002B754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F8028B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Na ausência de testes RT-PCR, os países estão adquirindo outros tipos de kits de laboratório, inclusive testes rápidos, cuja qualidade não é totalmente conhecida. </w:t>
      </w:r>
    </w:p>
    <w:p w14:paraId="0B8693A6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Escassez de equipamento de proteção individual (EPI), o que aumenta o risco para os profissionais da saúde, especialmente em países com sistemas de saúde frágeis. A OPAS está trabalhando com os Estados membros e a Organização Mundial da Saúde (OMS) </w:t>
      </w:r>
      <w:r w:rsidR="0027208A" w:rsidRPr="002B7548">
        <w:rPr>
          <w:rFonts w:ascii="Times New Roman" w:hAnsi="Times New Roman" w:cs="Times New Roman"/>
        </w:rPr>
        <w:t>n</w:t>
      </w:r>
      <w:r w:rsidRPr="002B7548">
        <w:rPr>
          <w:rFonts w:ascii="Times New Roman" w:hAnsi="Times New Roman" w:cs="Times New Roman"/>
        </w:rPr>
        <w:t>o acesso a</w:t>
      </w:r>
      <w:r w:rsidR="0027208A" w:rsidRPr="002B7548">
        <w:rPr>
          <w:rFonts w:ascii="Times New Roman" w:hAnsi="Times New Roman" w:cs="Times New Roman"/>
        </w:rPr>
        <w:t>os</w:t>
      </w:r>
      <w:r w:rsidRPr="002B7548">
        <w:rPr>
          <w:rFonts w:ascii="Times New Roman" w:hAnsi="Times New Roman" w:cs="Times New Roman"/>
        </w:rPr>
        <w:t xml:space="preserve"> EPI.</w:t>
      </w:r>
    </w:p>
    <w:p w14:paraId="44DAF23D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lastRenderedPageBreak/>
        <w:t>Os sistemas de saúde na região são segmentados e fragmentados, com acesso diferenciado aos mais pobres e aos grupos vulneráveis, a que se somam sistemas frágeis de proteção social.</w:t>
      </w:r>
    </w:p>
    <w:p w14:paraId="1E8BEB13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Baixa disponibilidade de ventiladores e número insuficiente de profissionais da saúde em alguns países. </w:t>
      </w:r>
    </w:p>
    <w:p w14:paraId="78C5F45E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As restrições ao tráfico aéreo internacional impact</w:t>
      </w:r>
      <w:r w:rsidR="007B15DF" w:rsidRPr="002B7548">
        <w:rPr>
          <w:rFonts w:ascii="Times New Roman" w:hAnsi="Times New Roman" w:cs="Times New Roman"/>
        </w:rPr>
        <w:t xml:space="preserve">aram </w:t>
      </w:r>
      <w:r w:rsidRPr="002B7548">
        <w:rPr>
          <w:rFonts w:ascii="Times New Roman" w:hAnsi="Times New Roman" w:cs="Times New Roman"/>
        </w:rPr>
        <w:t>a distribuição de medicamentos e doações, inclusive daqueles necessários ao tratamento do COVID-</w:t>
      </w:r>
      <w:r w:rsidR="0027208A" w:rsidRPr="002B7548">
        <w:rPr>
          <w:rFonts w:ascii="Times New Roman" w:hAnsi="Times New Roman" w:cs="Times New Roman"/>
        </w:rPr>
        <w:t>1</w:t>
      </w:r>
      <w:r w:rsidRPr="002B7548">
        <w:rPr>
          <w:rFonts w:ascii="Times New Roman" w:hAnsi="Times New Roman" w:cs="Times New Roman"/>
        </w:rPr>
        <w:t>9.</w:t>
      </w:r>
    </w:p>
    <w:p w14:paraId="5D3CAA64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619BE9" w14:textId="77777777" w:rsidR="00475D9D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 Doutora Etienne reiterou o grande desafio da crise do COVID-19 para a região, que está esgotando os sistemas de saúde, contexto em que os demais serviços essenciais de saúde também devem ser mantidos.</w:t>
      </w:r>
    </w:p>
    <w:p w14:paraId="6AA734D3" w14:textId="77777777" w:rsidR="00365E29" w:rsidRPr="002B7548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A2742C" w14:textId="77777777" w:rsidR="00475D9D" w:rsidRPr="002B7548" w:rsidRDefault="00475D9D" w:rsidP="00365E29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2B7548">
        <w:rPr>
          <w:rFonts w:ascii="Times New Roman" w:hAnsi="Times New Roman" w:cs="Times New Roman"/>
          <w:b/>
          <w:bCs/>
          <w:shd w:val="clear" w:color="auto" w:fill="FFFFFF"/>
        </w:rPr>
        <w:t>3.</w:t>
      </w:r>
      <w:r w:rsidRPr="002B7548">
        <w:rPr>
          <w:rFonts w:ascii="Times New Roman" w:hAnsi="Times New Roman" w:cs="Times New Roman"/>
          <w:b/>
          <w:bCs/>
          <w:shd w:val="clear" w:color="auto" w:fill="FFFFFF"/>
        </w:rPr>
        <w:tab/>
        <w:t xml:space="preserve">Ações das instituições do GTCC para mitigar os efeitos do COVID-19 na região </w:t>
      </w:r>
    </w:p>
    <w:p w14:paraId="124F7695" w14:textId="77777777" w:rsidR="00475D9D" w:rsidRPr="002B7548" w:rsidRDefault="00475D9D" w:rsidP="00365E29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D84E742" w14:textId="77777777" w:rsidR="00475D9D" w:rsidRPr="002B7548" w:rsidRDefault="00365E29" w:rsidP="002B7548">
      <w:pPr>
        <w:spacing w:after="0" w:line="240" w:lineRule="auto"/>
        <w:ind w:left="706" w:hanging="70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3.1 </w:t>
      </w:r>
      <w:r>
        <w:rPr>
          <w:rFonts w:ascii="Times New Roman" w:hAnsi="Times New Roman" w:cs="Times New Roman"/>
          <w:b/>
          <w:bCs/>
        </w:rPr>
        <w:tab/>
      </w:r>
      <w:r w:rsidR="00475D9D" w:rsidRPr="002B7548">
        <w:rPr>
          <w:rFonts w:ascii="Times New Roman" w:hAnsi="Times New Roman" w:cs="Times New Roman"/>
          <w:b/>
          <w:bCs/>
        </w:rPr>
        <w:t>Intervenção da Comissão Econômica para a América Latina e o Caribe (CEPAL)</w:t>
      </w:r>
    </w:p>
    <w:p w14:paraId="3EA87A23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0625C2A" w14:textId="77777777" w:rsidR="00475D9D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 Senhora Alicia Bárcena, Secretaria Executiva da CEPAL, afirmou que a pandemia originada pelo COVID-19 nos pegou com sistemas de saúde fragmentados e sem cobertura universal, nos quais mais de 47% da população não têm acesso à seguridade social. Acrescentou que ela acarretará graves consequências econômicas e sociais e que a projeção para 2020 é que a região registr</w:t>
      </w:r>
      <w:r w:rsidR="0027208A" w:rsidRPr="002B7548">
        <w:rPr>
          <w:rFonts w:ascii="Times New Roman" w:hAnsi="Times New Roman" w:cs="Times New Roman"/>
        </w:rPr>
        <w:t>e</w:t>
      </w:r>
      <w:r w:rsidRPr="002B7548">
        <w:rPr>
          <w:rFonts w:ascii="Times New Roman" w:hAnsi="Times New Roman" w:cs="Times New Roman"/>
        </w:rPr>
        <w:t xml:space="preserve"> um crescimento negativo de no mínimo 1,8%. Além disso, apoiou a necessidade de uma atuação multissetorial em resposta à crise. Os esforços da CEPAL na região diante da crise do COVID-19 incluem:</w:t>
      </w:r>
    </w:p>
    <w:p w14:paraId="3876B417" w14:textId="77777777" w:rsidR="00365E29" w:rsidRPr="002B7548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3CE7A15C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Implementação do Observatório COVID-19, para apoiar o acompanhamento e o monitoramento de avanços a médio e longo prazos nos países da região.</w:t>
      </w:r>
      <w:r w:rsidR="00DF11E8" w:rsidRPr="002B7548">
        <w:rPr>
          <w:rFonts w:ascii="Times New Roman" w:hAnsi="Times New Roman" w:cs="Times New Roman"/>
        </w:rPr>
        <w:t xml:space="preserve"> </w:t>
      </w:r>
      <w:r w:rsidRPr="002B7548">
        <w:rPr>
          <w:rFonts w:ascii="Times New Roman" w:hAnsi="Times New Roman" w:cs="Times New Roman"/>
        </w:rPr>
        <w:t>O Observatório coleta e disponibiliza as políticas públicas que os países da América Latina e do Caribe estão tomando para limitar o impacto da pandemia do COVID-19</w:t>
      </w:r>
      <w:r w:rsidR="0027208A" w:rsidRPr="002B7548">
        <w:rPr>
          <w:rFonts w:ascii="Times New Roman" w:hAnsi="Times New Roman" w:cs="Times New Roman"/>
        </w:rPr>
        <w:t>,</w:t>
      </w:r>
      <w:r w:rsidRPr="002B7548">
        <w:rPr>
          <w:rFonts w:ascii="Times New Roman" w:hAnsi="Times New Roman" w:cs="Times New Roman"/>
        </w:rPr>
        <w:t xml:space="preserve"> e as análises dos impactos econômicos e sociais que esses países sofrerão nos níveis nacional e setorial (</w:t>
      </w:r>
      <w:hyperlink r:id="rId12" w:tgtFrame="_blank" w:history="1">
        <w:r w:rsidRPr="008F1A1A">
          <w:t>www.cepal.org)</w:t>
        </w:r>
      </w:hyperlink>
      <w:r w:rsidRPr="002B7548">
        <w:rPr>
          <w:rFonts w:ascii="Times New Roman" w:hAnsi="Times New Roman" w:cs="Times New Roman"/>
        </w:rPr>
        <w:t>.</w:t>
      </w:r>
    </w:p>
    <w:p w14:paraId="1D261972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Publicação do relatório “A América Latina e o Caribe diante da pandemia do COVID-19: Efeitos econômicos e sociais”, no qual se abordam a conjuntura, os cenários e as projeções da pandemia, bem como as recomendações de ações de política em diversos âmbitos. </w:t>
      </w:r>
    </w:p>
    <w:p w14:paraId="59AAE7C7" w14:textId="77777777" w:rsidR="00365E29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0C8AB46F" w14:textId="77777777" w:rsidR="00475D9D" w:rsidRPr="002B7548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Quanto ao emprego e à renda dos habitantes da região, informou que se prevê uma queda de 5% na renda. Destacou importantes desafios para as áreas de seguro desemprego, acesso à população informal e cobertura de saúde. Instou que se apresente uma proposta de posição conjunta da região aos organismos financeiros internacionais </w:t>
      </w:r>
      <w:r w:rsidR="0027208A" w:rsidRPr="002B7548">
        <w:rPr>
          <w:rFonts w:ascii="Times New Roman" w:hAnsi="Times New Roman" w:cs="Times New Roman"/>
        </w:rPr>
        <w:t xml:space="preserve">no sentido de </w:t>
      </w:r>
      <w:r w:rsidRPr="002B7548">
        <w:rPr>
          <w:rFonts w:ascii="Times New Roman" w:hAnsi="Times New Roman" w:cs="Times New Roman"/>
        </w:rPr>
        <w:t>se repensar a situação dos países de renda média com alto nível de endividamento cujas economias estão sendo fortemente impactadas.</w:t>
      </w:r>
      <w:r w:rsidR="00DF11E8" w:rsidRPr="002B7548">
        <w:rPr>
          <w:rFonts w:ascii="Times New Roman" w:hAnsi="Times New Roman" w:cs="Times New Roman"/>
        </w:rPr>
        <w:t xml:space="preserve"> </w:t>
      </w:r>
    </w:p>
    <w:p w14:paraId="4038B275" w14:textId="77777777" w:rsidR="00755106" w:rsidRPr="002B7548" w:rsidRDefault="00755106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14:paraId="5A230BD1" w14:textId="77777777" w:rsidR="00475D9D" w:rsidRPr="002B7548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 xml:space="preserve">3.2 </w:t>
      </w:r>
      <w:r w:rsidRPr="002B7548">
        <w:rPr>
          <w:rFonts w:ascii="Times New Roman" w:hAnsi="Times New Roman" w:cs="Times New Roman"/>
          <w:b/>
          <w:bCs/>
        </w:rPr>
        <w:tab/>
        <w:t>Intervenção do Instituto Interamericano de Cooperação para a Agricultura (IICA)</w:t>
      </w:r>
    </w:p>
    <w:p w14:paraId="0D893E8D" w14:textId="77777777" w:rsidR="00365E29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3150BB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O Diretor Geral do I</w:t>
      </w:r>
      <w:r w:rsidR="0027208A" w:rsidRPr="002B7548">
        <w:rPr>
          <w:rFonts w:ascii="Times New Roman" w:hAnsi="Times New Roman" w:cs="Times New Roman"/>
        </w:rPr>
        <w:t>I</w:t>
      </w:r>
      <w:r w:rsidRPr="002B7548">
        <w:rPr>
          <w:rFonts w:ascii="Times New Roman" w:hAnsi="Times New Roman" w:cs="Times New Roman"/>
        </w:rPr>
        <w:t>CA, Senhor Manuel Otero, afirmou que, no contexto d</w:t>
      </w:r>
      <w:r w:rsidR="0027208A" w:rsidRPr="002B7548">
        <w:rPr>
          <w:rFonts w:ascii="Times New Roman" w:hAnsi="Times New Roman" w:cs="Times New Roman"/>
        </w:rPr>
        <w:t>a</w:t>
      </w:r>
      <w:r w:rsidRPr="002B7548">
        <w:rPr>
          <w:rFonts w:ascii="Times New Roman" w:hAnsi="Times New Roman" w:cs="Times New Roman"/>
        </w:rPr>
        <w:t xml:space="preserve"> crescente preocupação quanto à segurança alimentar no hemisfério, o IICA está disponibilizando aos Estados membros informações relevantes nessa matéria e propostas concretas de cooperação técnica.</w:t>
      </w:r>
    </w:p>
    <w:p w14:paraId="2FF307E7" w14:textId="77777777" w:rsidR="00365E29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2E6F6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Além da implementação do Conselho Assessor para a Segurança Alimentar, que transmite análises e recomendações para ajudar na tomada de decisões, e da publicação d</w:t>
      </w:r>
      <w:r w:rsidR="0027208A" w:rsidRPr="002B7548">
        <w:rPr>
          <w:rFonts w:ascii="Times New Roman" w:hAnsi="Times New Roman" w:cs="Times New Roman"/>
        </w:rPr>
        <w:t>o</w:t>
      </w:r>
      <w:r w:rsidRPr="002B7548">
        <w:rPr>
          <w:rFonts w:ascii="Times New Roman" w:hAnsi="Times New Roman" w:cs="Times New Roman"/>
        </w:rPr>
        <w:t xml:space="preserve"> Monitor sobre Segurança Alimentar, o IICA está promovendo reuniões virtuais dos Ministros da Agricultura das </w:t>
      </w:r>
      <w:r w:rsidRPr="002B7548">
        <w:rPr>
          <w:rFonts w:ascii="Times New Roman" w:hAnsi="Times New Roman" w:cs="Times New Roman"/>
        </w:rPr>
        <w:lastRenderedPageBreak/>
        <w:t>diferentes regiões e sub-regiões do continente. Nesses encontros, expressam-se preocupações sobre produção, estoques, logística e comercialização de alimentos, bem como sobre a desaceleração do comércio exterior</w:t>
      </w:r>
      <w:r w:rsidR="0027208A" w:rsidRPr="002B7548">
        <w:rPr>
          <w:rFonts w:ascii="Times New Roman" w:hAnsi="Times New Roman" w:cs="Times New Roman"/>
        </w:rPr>
        <w:t>,</w:t>
      </w:r>
      <w:r w:rsidRPr="002B7548">
        <w:rPr>
          <w:rFonts w:ascii="Times New Roman" w:hAnsi="Times New Roman" w:cs="Times New Roman"/>
        </w:rPr>
        <w:t xml:space="preserve"> a situação dos trabalhadores de colheita e o comportamento dos preços. O IICA recolhe as diversas </w:t>
      </w:r>
      <w:r w:rsidR="0027208A" w:rsidRPr="002B7548">
        <w:rPr>
          <w:rFonts w:ascii="Times New Roman" w:hAnsi="Times New Roman" w:cs="Times New Roman"/>
        </w:rPr>
        <w:t>vis</w:t>
      </w:r>
      <w:r w:rsidRPr="002B7548">
        <w:rPr>
          <w:rFonts w:ascii="Times New Roman" w:hAnsi="Times New Roman" w:cs="Times New Roman"/>
        </w:rPr>
        <w:t>ões nesses assuntos para produzir propostas de cooperação técnica em benefício da institucionalidade agropecuária e rural das Américas.</w:t>
      </w:r>
    </w:p>
    <w:p w14:paraId="4DE32E21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6D7BC3" w14:textId="77777777" w:rsidR="00475D9D" w:rsidRPr="002B7548" w:rsidRDefault="00475D9D" w:rsidP="00365E29">
      <w:pPr>
        <w:spacing w:after="0" w:line="240" w:lineRule="auto"/>
        <w:ind w:left="720" w:hanging="720"/>
        <w:outlineLvl w:val="1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  <w:shd w:val="clear" w:color="auto" w:fill="FFFFFF"/>
        </w:rPr>
        <w:t>3.3</w:t>
      </w:r>
      <w:r w:rsidRPr="002B7548">
        <w:rPr>
          <w:rFonts w:ascii="Times New Roman" w:hAnsi="Times New Roman" w:cs="Times New Roman"/>
          <w:b/>
          <w:bCs/>
          <w:shd w:val="clear" w:color="auto" w:fill="FFFFFF"/>
        </w:rPr>
        <w:tab/>
        <w:t>Intervenção da Organização para a Cooperação e o Desenvolvimento Econômico (OCD</w:t>
      </w:r>
      <w:r w:rsidRPr="002B7548">
        <w:rPr>
          <w:rFonts w:ascii="Times New Roman" w:hAnsi="Times New Roman" w:cs="Times New Roman"/>
          <w:shd w:val="clear" w:color="auto" w:fill="FFFFFF"/>
        </w:rPr>
        <w:t>E</w:t>
      </w:r>
      <w:r w:rsidRPr="002B7548">
        <w:rPr>
          <w:rFonts w:ascii="Times New Roman" w:hAnsi="Times New Roman" w:cs="Times New Roman"/>
          <w:b/>
          <w:bCs/>
        </w:rPr>
        <w:t>)</w:t>
      </w:r>
    </w:p>
    <w:p w14:paraId="46319E2A" w14:textId="77777777" w:rsidR="00365E29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</w:p>
    <w:p w14:paraId="788D7F2E" w14:textId="77777777" w:rsidR="00475D9D" w:rsidRPr="002B7548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  <w:shd w:val="clear" w:color="auto" w:fill="FFFFFF"/>
        </w:rPr>
        <w:t>O Senhor Ángel Gurría, Secretário-Geral da OCDE, ressaltou a necessidade de se garantir o enfoque multilateral na gestão da situação. Centrou a sua análise nos impactos das medidas na economia regional.</w:t>
      </w:r>
      <w:r w:rsidR="00DF11E8" w:rsidRPr="002B7548">
        <w:rPr>
          <w:rFonts w:ascii="Times New Roman" w:hAnsi="Times New Roman" w:cs="Times New Roman"/>
          <w:shd w:val="clear" w:color="auto" w:fill="FFFFFF"/>
        </w:rPr>
        <w:t xml:space="preserve"> </w:t>
      </w:r>
      <w:r w:rsidRPr="002B7548">
        <w:rPr>
          <w:rFonts w:ascii="Times New Roman" w:hAnsi="Times New Roman" w:cs="Times New Roman"/>
          <w:shd w:val="clear" w:color="auto" w:fill="FFFFFF"/>
        </w:rPr>
        <w:t xml:space="preserve">Segundo a OCDE, o crescimento anual do PIB sofrerá perda de cerca de 2% por mês </w:t>
      </w:r>
      <w:r w:rsidR="00DE75FD" w:rsidRPr="002B7548">
        <w:rPr>
          <w:rFonts w:ascii="Times New Roman" w:hAnsi="Times New Roman" w:cs="Times New Roman"/>
          <w:shd w:val="clear" w:color="auto" w:fill="FFFFFF"/>
        </w:rPr>
        <w:t>passado pelo</w:t>
      </w:r>
      <w:r w:rsidRPr="002B7548">
        <w:rPr>
          <w:rFonts w:ascii="Times New Roman" w:hAnsi="Times New Roman" w:cs="Times New Roman"/>
          <w:shd w:val="clear" w:color="auto" w:fill="FFFFFF"/>
        </w:rPr>
        <w:t xml:space="preserve"> país passar em confinamento e afetará diretamente os setores que representam até um terço do PIB das principais economias</w:t>
      </w:r>
      <w:r w:rsidRPr="002B7548">
        <w:rPr>
          <w:rFonts w:ascii="Times New Roman" w:hAnsi="Times New Roman" w:cs="Times New Roman"/>
        </w:rPr>
        <w:t>.</w:t>
      </w:r>
    </w:p>
    <w:p w14:paraId="67550451" w14:textId="77777777" w:rsidR="00365E29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439373F6" w14:textId="77777777" w:rsidR="00475D9D" w:rsidRPr="002B7548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A OCDE participou de reuniões com os organismos financeiros internacionais para abordar o tema dos países em desenvolvimento altamente endividados, com ênfase especial na região do Caribe. Neste cenário, </w:t>
      </w:r>
      <w:r w:rsidR="00DE75FD" w:rsidRPr="002B7548">
        <w:rPr>
          <w:rFonts w:ascii="Times New Roman" w:hAnsi="Times New Roman" w:cs="Times New Roman"/>
        </w:rPr>
        <w:t>será preciso</w:t>
      </w:r>
      <w:r w:rsidRPr="002B7548">
        <w:rPr>
          <w:rFonts w:ascii="Times New Roman" w:hAnsi="Times New Roman" w:cs="Times New Roman"/>
        </w:rPr>
        <w:t xml:space="preserve"> alavanca</w:t>
      </w:r>
      <w:r w:rsidR="00DE75FD" w:rsidRPr="002B7548">
        <w:rPr>
          <w:rFonts w:ascii="Times New Roman" w:hAnsi="Times New Roman" w:cs="Times New Roman"/>
        </w:rPr>
        <w:t xml:space="preserve">r </w:t>
      </w:r>
      <w:r w:rsidRPr="002B7548">
        <w:rPr>
          <w:rFonts w:ascii="Times New Roman" w:hAnsi="Times New Roman" w:cs="Times New Roman"/>
        </w:rPr>
        <w:t>o desenvolvimento buscando-se mais fontes de financiamento.</w:t>
      </w:r>
      <w:r w:rsidR="00DF11E8" w:rsidRPr="002B7548">
        <w:rPr>
          <w:rFonts w:ascii="Times New Roman" w:hAnsi="Times New Roman" w:cs="Times New Roman"/>
        </w:rPr>
        <w:t xml:space="preserve"> </w:t>
      </w:r>
      <w:r w:rsidRPr="002B7548">
        <w:rPr>
          <w:rFonts w:ascii="Times New Roman" w:hAnsi="Times New Roman" w:cs="Times New Roman"/>
        </w:rPr>
        <w:t>Mencionou também a preocupação pelo acesso aos setores informais e pelas medidas de confinamento em relação à geração de re</w:t>
      </w:r>
      <w:r w:rsidR="00DE75FD" w:rsidRPr="002B7548">
        <w:rPr>
          <w:rFonts w:ascii="Times New Roman" w:hAnsi="Times New Roman" w:cs="Times New Roman"/>
        </w:rPr>
        <w:t>nda</w:t>
      </w:r>
      <w:r w:rsidRPr="002B7548">
        <w:rPr>
          <w:rFonts w:ascii="Times New Roman" w:hAnsi="Times New Roman" w:cs="Times New Roman"/>
        </w:rPr>
        <w:t xml:space="preserve"> em uma região caracterizada p</w:t>
      </w:r>
      <w:r w:rsidR="00DE75FD" w:rsidRPr="002B7548">
        <w:rPr>
          <w:rFonts w:ascii="Times New Roman" w:hAnsi="Times New Roman" w:cs="Times New Roman"/>
        </w:rPr>
        <w:t xml:space="preserve">ela </w:t>
      </w:r>
      <w:r w:rsidRPr="002B7548">
        <w:rPr>
          <w:rFonts w:ascii="Times New Roman" w:hAnsi="Times New Roman" w:cs="Times New Roman"/>
        </w:rPr>
        <w:t xml:space="preserve">precariedade trabalhista e </w:t>
      </w:r>
      <w:r w:rsidR="00DE75FD" w:rsidRPr="002B7548">
        <w:rPr>
          <w:rFonts w:ascii="Times New Roman" w:hAnsi="Times New Roman" w:cs="Times New Roman"/>
        </w:rPr>
        <w:t xml:space="preserve">pela </w:t>
      </w:r>
      <w:r w:rsidRPr="002B7548">
        <w:rPr>
          <w:rFonts w:ascii="Times New Roman" w:hAnsi="Times New Roman" w:cs="Times New Roman"/>
        </w:rPr>
        <w:t>desconfiança nos governos por parte dos cidadãos.</w:t>
      </w:r>
    </w:p>
    <w:p w14:paraId="0AD48AB9" w14:textId="77777777" w:rsidR="00365E29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DA9355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 OCDE disponibilizou a sua nova plataforma (</w:t>
      </w:r>
      <w:hyperlink r:id="rId13" w:tgtFrame="_blank" w:history="1">
        <w:r w:rsidR="00365E29" w:rsidRPr="00365E29">
          <w:rPr>
            <w:rFonts w:ascii="Times New Roman" w:hAnsi="Times New Roman"/>
            <w:color w:val="0000FF"/>
            <w:u w:val="single"/>
          </w:rPr>
          <w:t>http://www.oecd.org/coronavirus/</w:t>
        </w:r>
      </w:hyperlink>
      <w:hyperlink r:id="rId14" w:tgtFrame="_blank" w:history="1">
        <w:r w:rsidRPr="002B7548">
          <w:rPr>
            <w:rFonts w:ascii="Times New Roman" w:hAnsi="Times New Roman" w:cs="Times New Roman"/>
          </w:rPr>
          <w:t>) como resposta à crise do COVID-19, para fornecer dados oportunos, análises, assessoramento e soluções, bem como informações sobre as medidas de saúde, econômicas e sociais de países de todo o mundo</w:t>
        </w:r>
      </w:hyperlink>
      <w:r w:rsidRPr="002B7548">
        <w:rPr>
          <w:rFonts w:ascii="Times New Roman" w:hAnsi="Times New Roman" w:cs="Times New Roman"/>
        </w:rPr>
        <w:t>.</w:t>
      </w:r>
    </w:p>
    <w:p w14:paraId="5A52D93A" w14:textId="77777777" w:rsidR="00475D9D" w:rsidRPr="002B7548" w:rsidRDefault="00475D9D" w:rsidP="002B7548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14:paraId="37646C80" w14:textId="77777777" w:rsidR="00475D9D" w:rsidRPr="002B7548" w:rsidRDefault="00475D9D" w:rsidP="002B7548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 xml:space="preserve">3.4 </w:t>
      </w:r>
      <w:r w:rsidRPr="002B7548">
        <w:rPr>
          <w:rFonts w:ascii="Times New Roman" w:hAnsi="Times New Roman" w:cs="Times New Roman"/>
          <w:b/>
          <w:bCs/>
        </w:rPr>
        <w:tab/>
        <w:t>Intervenção do Banco Mundial</w:t>
      </w:r>
    </w:p>
    <w:p w14:paraId="22A32997" w14:textId="77777777" w:rsidR="00365E29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687F5D72" w14:textId="77777777" w:rsidR="00475D9D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O Senhor Humberto López, Vice-Presidente Regional </w:t>
      </w:r>
      <w:r w:rsidRPr="002B7548">
        <w:rPr>
          <w:rFonts w:ascii="Times New Roman" w:hAnsi="Times New Roman" w:cs="Times New Roman"/>
          <w:i/>
          <w:iCs/>
        </w:rPr>
        <w:t>a</w:t>
      </w:r>
      <w:r w:rsidR="00DE75FD" w:rsidRPr="002B7548">
        <w:rPr>
          <w:rFonts w:ascii="Times New Roman" w:hAnsi="Times New Roman" w:cs="Times New Roman"/>
          <w:i/>
          <w:iCs/>
        </w:rPr>
        <w:t>d interim</w:t>
      </w:r>
      <w:r w:rsidR="00DE75FD" w:rsidRPr="002B7548">
        <w:rPr>
          <w:rFonts w:ascii="Times New Roman" w:hAnsi="Times New Roman" w:cs="Times New Roman"/>
        </w:rPr>
        <w:t xml:space="preserve"> </w:t>
      </w:r>
      <w:r w:rsidRPr="002B7548">
        <w:rPr>
          <w:rFonts w:ascii="Times New Roman" w:hAnsi="Times New Roman" w:cs="Times New Roman"/>
        </w:rPr>
        <w:t>para a América Latina e o Caribe, concordou com as análises apresentadas sobre a vulnerabilidade da região para enfrentar a crise do COVID-19, com economias altamente endividadas e queda das fontes de re</w:t>
      </w:r>
      <w:r w:rsidR="00DE75FD" w:rsidRPr="002B7548">
        <w:rPr>
          <w:rFonts w:ascii="Times New Roman" w:hAnsi="Times New Roman" w:cs="Times New Roman"/>
        </w:rPr>
        <w:t>nda</w:t>
      </w:r>
      <w:r w:rsidRPr="002B7548">
        <w:rPr>
          <w:rFonts w:ascii="Times New Roman" w:hAnsi="Times New Roman" w:cs="Times New Roman"/>
        </w:rPr>
        <w:t>.</w:t>
      </w:r>
    </w:p>
    <w:p w14:paraId="7930C536" w14:textId="77777777" w:rsidR="00365E29" w:rsidRPr="002B7548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5F0AB0E9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Assistência financeira e técnica aos países a ser fornecida em duas frentes: resposta imediata à emergência de saúde e apoio contínuo para </w:t>
      </w:r>
      <w:r w:rsidR="00DE75FD" w:rsidRPr="002B7548">
        <w:rPr>
          <w:rFonts w:ascii="Times New Roman" w:hAnsi="Times New Roman" w:cs="Times New Roman"/>
        </w:rPr>
        <w:t xml:space="preserve">amenizar </w:t>
      </w:r>
      <w:r w:rsidRPr="002B7548">
        <w:rPr>
          <w:rFonts w:ascii="Times New Roman" w:hAnsi="Times New Roman" w:cs="Times New Roman"/>
        </w:rPr>
        <w:t xml:space="preserve">os impactos socioeconômicos da pandemia. </w:t>
      </w:r>
    </w:p>
    <w:p w14:paraId="3831C412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Apoio a projetos para enfrentar a emergência de saúde no Equador, no Paraguai, na Argentina e no Haiti; projetos em quatro países centro-americanos serão aprovados o quanto antes possível. </w:t>
      </w:r>
    </w:p>
    <w:p w14:paraId="683BAFD1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Apoiar-se-</w:t>
      </w:r>
      <w:r w:rsidR="00DE75FD" w:rsidRPr="002B7548">
        <w:rPr>
          <w:rFonts w:ascii="Times New Roman" w:hAnsi="Times New Roman" w:cs="Times New Roman"/>
        </w:rPr>
        <w:t xml:space="preserve">á </w:t>
      </w:r>
      <w:r w:rsidRPr="002B7548">
        <w:rPr>
          <w:rFonts w:ascii="Times New Roman" w:hAnsi="Times New Roman" w:cs="Times New Roman"/>
        </w:rPr>
        <w:t xml:space="preserve">a compra de </w:t>
      </w:r>
      <w:r w:rsidR="00DE75FD" w:rsidRPr="002B7548">
        <w:rPr>
          <w:rFonts w:ascii="Times New Roman" w:hAnsi="Times New Roman" w:cs="Times New Roman"/>
        </w:rPr>
        <w:t>itens</w:t>
      </w:r>
      <w:r w:rsidRPr="002B7548">
        <w:rPr>
          <w:rFonts w:ascii="Times New Roman" w:hAnsi="Times New Roman" w:cs="Times New Roman"/>
        </w:rPr>
        <w:t xml:space="preserve"> essencia</w:t>
      </w:r>
      <w:r w:rsidR="00DE75FD" w:rsidRPr="002B7548">
        <w:rPr>
          <w:rFonts w:ascii="Times New Roman" w:hAnsi="Times New Roman" w:cs="Times New Roman"/>
        </w:rPr>
        <w:t>is</w:t>
      </w:r>
      <w:r w:rsidRPr="002B7548">
        <w:rPr>
          <w:rFonts w:ascii="Times New Roman" w:hAnsi="Times New Roman" w:cs="Times New Roman"/>
        </w:rPr>
        <w:t xml:space="preserve"> para a área da saúde, como ventiladores e material médico.</w:t>
      </w:r>
    </w:p>
    <w:p w14:paraId="54D4D77D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Alocação de recursos entre US$7 e US$10 bilhões </w:t>
      </w:r>
      <w:r w:rsidR="00DE75FD" w:rsidRPr="002B7548">
        <w:rPr>
          <w:rFonts w:ascii="Times New Roman" w:hAnsi="Times New Roman" w:cs="Times New Roman"/>
        </w:rPr>
        <w:t xml:space="preserve">para operações </w:t>
      </w:r>
      <w:r w:rsidRPr="002B7548">
        <w:rPr>
          <w:rFonts w:ascii="Times New Roman" w:hAnsi="Times New Roman" w:cs="Times New Roman"/>
        </w:rPr>
        <w:t>em apoio aos países nos seus planos econômicos e sociais para a atenuação dos impactos de longo prazo.</w:t>
      </w:r>
    </w:p>
    <w:p w14:paraId="045BCC34" w14:textId="77777777" w:rsidR="00475D9D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O Banco Mundial, o BID e o Fundo Monetário Internacional (FMI) trabalha</w:t>
      </w:r>
      <w:r w:rsidR="00DE75FD" w:rsidRPr="002B7548">
        <w:rPr>
          <w:rFonts w:ascii="Times New Roman" w:hAnsi="Times New Roman" w:cs="Times New Roman"/>
        </w:rPr>
        <w:t>m</w:t>
      </w:r>
      <w:r w:rsidRPr="002B7548">
        <w:rPr>
          <w:rFonts w:ascii="Times New Roman" w:hAnsi="Times New Roman" w:cs="Times New Roman"/>
        </w:rPr>
        <w:t xml:space="preserve"> cooperativamente em apoio aos países.</w:t>
      </w:r>
    </w:p>
    <w:p w14:paraId="180F22EA" w14:textId="6394FB52" w:rsidR="008F1A1A" w:rsidRDefault="008F1A1A" w:rsidP="008F1A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ABEC4C" w14:textId="77777777" w:rsidR="008F1A1A" w:rsidRDefault="008F1A1A" w:rsidP="008F1A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F09505" w14:textId="77777777" w:rsidR="008F1A1A" w:rsidRPr="002B7548" w:rsidRDefault="008F1A1A" w:rsidP="008F1A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588AF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497857" w14:textId="77777777" w:rsidR="00475D9D" w:rsidRPr="002B7548" w:rsidRDefault="00475D9D" w:rsidP="002B7548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lastRenderedPageBreak/>
        <w:t xml:space="preserve">3.5 </w:t>
      </w:r>
      <w:r w:rsidRPr="002B7548">
        <w:rPr>
          <w:rFonts w:ascii="Times New Roman" w:hAnsi="Times New Roman" w:cs="Times New Roman"/>
          <w:b/>
          <w:bCs/>
        </w:rPr>
        <w:tab/>
        <w:t>Intervenção do Banco de Desenvolvimento da América Latina (CAF)</w:t>
      </w:r>
    </w:p>
    <w:p w14:paraId="209A887C" w14:textId="77777777" w:rsidR="00365E29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6372BF95" w14:textId="77777777" w:rsidR="00475D9D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O Senhor Víctor Rico, Secretário-Geral do CAF, afirmou que a sua instituição implementou um conjunto de medidas que ajudarão no enfrentamento da emergência dos países acionistas, entre as quais:</w:t>
      </w:r>
    </w:p>
    <w:p w14:paraId="442C9C5B" w14:textId="77777777" w:rsidR="00365E29" w:rsidRPr="002B7548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</w:p>
    <w:p w14:paraId="7E77381B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Apoio integrado ao setor de saúde e às tesourarias dos países, bem como ao setor privado, especificamente às PMEs e às MPMEs. </w:t>
      </w:r>
    </w:p>
    <w:p w14:paraId="3EB056F9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8F1A1A">
        <w:rPr>
          <w:rFonts w:ascii="Times New Roman" w:hAnsi="Times New Roman" w:cs="Times New Roman"/>
        </w:rPr>
        <w:t>Ativação de uma linha de crédito contingente de US$50 milhões por país.</w:t>
      </w:r>
    </w:p>
    <w:p w14:paraId="0E056F58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8F1A1A">
        <w:rPr>
          <w:rFonts w:ascii="Times New Roman" w:hAnsi="Times New Roman" w:cs="Times New Roman"/>
        </w:rPr>
        <w:t>Linha de crédito US$2</w:t>
      </w:r>
      <w:r w:rsidR="00DE75FD" w:rsidRPr="008F1A1A">
        <w:rPr>
          <w:rFonts w:ascii="Times New Roman" w:hAnsi="Times New Roman" w:cs="Times New Roman"/>
        </w:rPr>
        <w:t>,</w:t>
      </w:r>
      <w:r w:rsidRPr="008F1A1A">
        <w:rPr>
          <w:rFonts w:ascii="Times New Roman" w:hAnsi="Times New Roman" w:cs="Times New Roman"/>
        </w:rPr>
        <w:t>5 bilhões para mitigar os efeitos econômicos da expansão do vírus.</w:t>
      </w:r>
    </w:p>
    <w:p w14:paraId="018D3121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Apoio ao sistema bancário, em particular aos bancos de desenvolvimento, para que possam destinar recursos ao setor produtivo, especialmente às pequenas e médias empresas. </w:t>
      </w:r>
    </w:p>
    <w:p w14:paraId="20A26E45" w14:textId="7DF6725D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Cooperação técnica não reembolsável de até </w:t>
      </w:r>
      <w:r w:rsidRPr="001A17C5">
        <w:rPr>
          <w:rFonts w:ascii="Times New Roman" w:hAnsi="Times New Roman" w:cs="Times New Roman"/>
        </w:rPr>
        <w:t>US$400,00</w:t>
      </w:r>
      <w:r w:rsidR="001A17C5" w:rsidRPr="001A17C5">
        <w:rPr>
          <w:rFonts w:ascii="Times New Roman" w:hAnsi="Times New Roman" w:cs="Times New Roman"/>
        </w:rPr>
        <w:t>0</w:t>
      </w:r>
      <w:r w:rsidRPr="002B7548">
        <w:rPr>
          <w:rFonts w:ascii="Times New Roman" w:hAnsi="Times New Roman" w:cs="Times New Roman"/>
        </w:rPr>
        <w:t xml:space="preserve"> por país </w:t>
      </w:r>
      <w:r w:rsidR="00DE75FD" w:rsidRPr="002B7548">
        <w:rPr>
          <w:rFonts w:ascii="Times New Roman" w:hAnsi="Times New Roman" w:cs="Times New Roman"/>
        </w:rPr>
        <w:t>para ajuda no enfrentamento da pandemia com</w:t>
      </w:r>
      <w:r w:rsidRPr="002B7548">
        <w:rPr>
          <w:rFonts w:ascii="Times New Roman" w:hAnsi="Times New Roman" w:cs="Times New Roman"/>
        </w:rPr>
        <w:t xml:space="preserve"> ações e compras imediatas relacionadas </w:t>
      </w:r>
      <w:r w:rsidR="00DE75FD" w:rsidRPr="002B7548">
        <w:rPr>
          <w:rFonts w:ascii="Times New Roman" w:hAnsi="Times New Roman" w:cs="Times New Roman"/>
        </w:rPr>
        <w:t>a</w:t>
      </w:r>
      <w:r w:rsidRPr="002B7548">
        <w:rPr>
          <w:rFonts w:ascii="Times New Roman" w:hAnsi="Times New Roman" w:cs="Times New Roman"/>
        </w:rPr>
        <w:t>o COVID-19.</w:t>
      </w:r>
    </w:p>
    <w:p w14:paraId="126D1826" w14:textId="77777777" w:rsidR="00475D9D" w:rsidRPr="002B7548" w:rsidRDefault="00475D9D" w:rsidP="002B7548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14:paraId="7E4428EE" w14:textId="77777777" w:rsidR="00475D9D" w:rsidRPr="002B7548" w:rsidRDefault="00475D9D" w:rsidP="002B7548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>3.6</w:t>
      </w:r>
      <w:r w:rsidRPr="002B7548">
        <w:rPr>
          <w:rFonts w:ascii="Times New Roman" w:hAnsi="Times New Roman" w:cs="Times New Roman"/>
          <w:b/>
          <w:bCs/>
        </w:rPr>
        <w:tab/>
        <w:t>Intervenção do Banco Interamericano de Desenvolvimento (BID)</w:t>
      </w:r>
    </w:p>
    <w:p w14:paraId="17E320B8" w14:textId="77777777" w:rsidR="00365E29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7F6B0470" w14:textId="77777777" w:rsidR="00475D9D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O Senhor Fabrizio Opertti, Gerente do Setor de Integração e Comércio do BID, informou que o banco está flexibilizando o uso de recursos financeiros de curto prazo na região. Também disponibilizou recursos </w:t>
      </w:r>
      <w:r w:rsidR="00BC7907" w:rsidRPr="002B7548">
        <w:rPr>
          <w:rFonts w:ascii="Times New Roman" w:hAnsi="Times New Roman" w:cs="Times New Roman"/>
        </w:rPr>
        <w:t xml:space="preserve">aos países </w:t>
      </w:r>
      <w:r w:rsidRPr="002B7548">
        <w:rPr>
          <w:rFonts w:ascii="Times New Roman" w:hAnsi="Times New Roman" w:cs="Times New Roman"/>
        </w:rPr>
        <w:t>para a reforma de políticas (</w:t>
      </w:r>
      <w:r w:rsidR="00240C21" w:rsidRPr="002B7548">
        <w:rPr>
          <w:rFonts w:ascii="Times New Roman" w:hAnsi="Times New Roman" w:cs="Times New Roman"/>
        </w:rPr>
        <w:t xml:space="preserve">os </w:t>
      </w:r>
      <w:r w:rsidRPr="002B7548">
        <w:rPr>
          <w:rFonts w:ascii="Times New Roman" w:hAnsi="Times New Roman" w:cs="Times New Roman"/>
          <w:i/>
          <w:iCs/>
        </w:rPr>
        <w:t>Policy Based Loans</w:t>
      </w:r>
      <w:r w:rsidRPr="002B7548">
        <w:rPr>
          <w:rFonts w:ascii="Times New Roman" w:hAnsi="Times New Roman" w:cs="Times New Roman"/>
        </w:rPr>
        <w:t>) e a reestruturação da carteira para atender a urgências.</w:t>
      </w:r>
      <w:r w:rsidR="00DF11E8" w:rsidRPr="002B7548">
        <w:rPr>
          <w:rFonts w:ascii="Times New Roman" w:hAnsi="Times New Roman" w:cs="Times New Roman"/>
        </w:rPr>
        <w:t xml:space="preserve"> </w:t>
      </w:r>
      <w:r w:rsidR="00240C21" w:rsidRPr="002B7548">
        <w:rPr>
          <w:rFonts w:ascii="Times New Roman" w:hAnsi="Times New Roman" w:cs="Times New Roman"/>
        </w:rPr>
        <w:t>As p</w:t>
      </w:r>
      <w:r w:rsidRPr="002B7548">
        <w:rPr>
          <w:rFonts w:ascii="Times New Roman" w:hAnsi="Times New Roman" w:cs="Times New Roman"/>
        </w:rPr>
        <w:t>rincipais áreas de trabalho</w:t>
      </w:r>
      <w:r w:rsidR="00240C21" w:rsidRPr="002B7548">
        <w:rPr>
          <w:rFonts w:ascii="Times New Roman" w:hAnsi="Times New Roman" w:cs="Times New Roman"/>
        </w:rPr>
        <w:t xml:space="preserve"> são</w:t>
      </w:r>
      <w:r w:rsidRPr="002B7548">
        <w:rPr>
          <w:rFonts w:ascii="Times New Roman" w:hAnsi="Times New Roman" w:cs="Times New Roman"/>
        </w:rPr>
        <w:t xml:space="preserve">: </w:t>
      </w:r>
    </w:p>
    <w:p w14:paraId="47963579" w14:textId="77777777" w:rsidR="00365E29" w:rsidRPr="002B7548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688E354D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Atenção aos desafios imediatos de saúde pública em conformidade com as diretrizes da OMS para diminuir a transmissão do vírus e mitigar os seus impactos.</w:t>
      </w:r>
    </w:p>
    <w:p w14:paraId="329FBCB7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Processos de contratação pública e de cadeias de valor associados à saúde. Coordenação com as entidades competentes por meio da Rede Interamericana de Compras Governamentais da OEA. Desenvolvimento de uma plataforma de acesso ao suprimento de bens necessários ao combate à pandemia.</w:t>
      </w:r>
      <w:r w:rsidR="00DF11E8" w:rsidRPr="002B7548">
        <w:rPr>
          <w:rFonts w:ascii="Times New Roman" w:hAnsi="Times New Roman" w:cs="Times New Roman"/>
        </w:rPr>
        <w:t xml:space="preserve"> </w:t>
      </w:r>
    </w:p>
    <w:p w14:paraId="72BA3FFF" w14:textId="77777777" w:rsidR="00585C31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Re</w:t>
      </w:r>
      <w:r w:rsidR="00BC7907" w:rsidRPr="002B7548">
        <w:rPr>
          <w:rFonts w:ascii="Times New Roman" w:hAnsi="Times New Roman" w:cs="Times New Roman"/>
        </w:rPr>
        <w:t xml:space="preserve">estruturação </w:t>
      </w:r>
      <w:r w:rsidRPr="002B7548">
        <w:rPr>
          <w:rFonts w:ascii="Times New Roman" w:hAnsi="Times New Roman" w:cs="Times New Roman"/>
        </w:rPr>
        <w:t>de empréstimos existentes prioriza</w:t>
      </w:r>
      <w:r w:rsidR="00D53669" w:rsidRPr="002B7548">
        <w:rPr>
          <w:rFonts w:ascii="Times New Roman" w:hAnsi="Times New Roman" w:cs="Times New Roman"/>
        </w:rPr>
        <w:t xml:space="preserve">ndo-se </w:t>
      </w:r>
      <w:r w:rsidRPr="002B7548">
        <w:rPr>
          <w:rFonts w:ascii="Times New Roman" w:hAnsi="Times New Roman" w:cs="Times New Roman"/>
        </w:rPr>
        <w:t xml:space="preserve">a resposta à crise; fortalecimento, no nível nacional, das redes de seguridade social para populações vulneráveis e aumento das transferências; e </w:t>
      </w:r>
      <w:r w:rsidR="00D53669" w:rsidRPr="002B7548">
        <w:rPr>
          <w:rFonts w:ascii="Times New Roman" w:hAnsi="Times New Roman" w:cs="Times New Roman"/>
        </w:rPr>
        <w:t>fomento</w:t>
      </w:r>
      <w:r w:rsidRPr="002B7548">
        <w:rPr>
          <w:rFonts w:ascii="Times New Roman" w:hAnsi="Times New Roman" w:cs="Times New Roman"/>
        </w:rPr>
        <w:t xml:space="preserve"> da produtividade econômica do emprego por meio da PMEs.</w:t>
      </w:r>
      <w:r w:rsidR="00DF11E8" w:rsidRPr="002B7548">
        <w:rPr>
          <w:rFonts w:ascii="Times New Roman" w:hAnsi="Times New Roman" w:cs="Times New Roman"/>
        </w:rPr>
        <w:t xml:space="preserve"> </w:t>
      </w:r>
    </w:p>
    <w:p w14:paraId="62C8774E" w14:textId="174CDC8A" w:rsidR="00475D9D" w:rsidRPr="00585C31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585C31">
        <w:rPr>
          <w:rFonts w:ascii="Times New Roman" w:hAnsi="Times New Roman" w:cs="Times New Roman"/>
        </w:rPr>
        <w:t xml:space="preserve">Apoio às políticas fiscais para se fazer face aos impactos econômicos entre subáreas no tocante ao financiamento da despesa no enfrentamento da crise, à continuidade da despesa para as compras públicas e à recuperação econômica. O BID está promovendo a participação do setor privado na resposta à crise por meio do </w:t>
      </w:r>
      <w:r w:rsidR="00585C31" w:rsidRPr="00585C31">
        <w:rPr>
          <w:rFonts w:ascii="Times New Roman" w:hAnsi="Times New Roman" w:cs="Times New Roman"/>
        </w:rPr>
        <w:t>Diálogo</w:t>
      </w:r>
      <w:r w:rsidRPr="00585C31">
        <w:rPr>
          <w:rFonts w:ascii="Times New Roman" w:hAnsi="Times New Roman" w:cs="Times New Roman"/>
        </w:rPr>
        <w:t xml:space="preserve"> Empresarial das </w:t>
      </w:r>
      <w:r w:rsidR="00585C31" w:rsidRPr="00585C31">
        <w:rPr>
          <w:rFonts w:ascii="Times New Roman" w:hAnsi="Times New Roman" w:cs="Times New Roman"/>
        </w:rPr>
        <w:t xml:space="preserve">Américas. </w:t>
      </w:r>
    </w:p>
    <w:p w14:paraId="04FDA8BA" w14:textId="77777777" w:rsidR="00365E29" w:rsidRPr="002B7548" w:rsidRDefault="00365E29" w:rsidP="002B7548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14:paraId="123E91E8" w14:textId="77777777" w:rsidR="00475D9D" w:rsidRPr="002B7548" w:rsidRDefault="00475D9D" w:rsidP="002B7548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>3.7</w:t>
      </w:r>
      <w:r w:rsidRPr="002B7548">
        <w:rPr>
          <w:rFonts w:ascii="Times New Roman" w:hAnsi="Times New Roman" w:cs="Times New Roman"/>
          <w:b/>
          <w:bCs/>
        </w:rPr>
        <w:tab/>
        <w:t>Intervenção do Programa das Nações Unidas para o Desenvolvimento (PNUD)</w:t>
      </w:r>
    </w:p>
    <w:p w14:paraId="05703CD0" w14:textId="77777777" w:rsidR="00365E29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D9AEA3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O Senhor Luis Felipe López Calvo, Subdiretor do PNUD para a América Latina, destacou o apoio da instituição na preparação da resposta e da recuperação da crise do COVID-19. Os CO do PNUD na América Latina e no Caribe estão colaborando estreitamente com os seus homólogos governamentais, oferecendo apoio programático e de políticas oportuno e relevante, além de facilitar o processo de aquisição de kits de teste, equipamentos de proteção individual e outr</w:t>
      </w:r>
      <w:r w:rsidR="007B15DF" w:rsidRPr="002B7548">
        <w:rPr>
          <w:rFonts w:ascii="Times New Roman" w:hAnsi="Times New Roman" w:cs="Times New Roman"/>
        </w:rPr>
        <w:t>o</w:t>
      </w:r>
      <w:r w:rsidRPr="002B7548">
        <w:rPr>
          <w:rFonts w:ascii="Times New Roman" w:hAnsi="Times New Roman" w:cs="Times New Roman"/>
        </w:rPr>
        <w:t xml:space="preserve">s equipamentos médicos. </w:t>
      </w:r>
    </w:p>
    <w:p w14:paraId="630D6A18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AC147B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No nível regional, o PNUD publicou a </w:t>
      </w:r>
      <w:hyperlink r:id="rId15" w:history="1">
        <w:r w:rsidR="00D53669" w:rsidRPr="002B7548">
          <w:rPr>
            <w:rStyle w:val="Hyperlink"/>
            <w:rFonts w:ascii="Times New Roman" w:hAnsi="Times New Roman" w:cs="Times New Roman"/>
            <w:color w:val="auto"/>
            <w:u w:val="none"/>
          </w:rPr>
          <w:t>s</w:t>
        </w:r>
        <w:r w:rsidRPr="002B7548">
          <w:rPr>
            <w:rStyle w:val="Hyperlink"/>
            <w:rFonts w:ascii="Times New Roman" w:hAnsi="Times New Roman" w:cs="Times New Roman"/>
            <w:color w:val="auto"/>
            <w:u w:val="none"/>
          </w:rPr>
          <w:t>érie</w:t>
        </w:r>
        <w:r w:rsidR="00D53669" w:rsidRPr="002B7548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</w:t>
        </w:r>
        <w:r w:rsidR="00D53669" w:rsidRPr="002B7548">
          <w:rPr>
            <w:rStyle w:val="Hyperlink"/>
            <w:rFonts w:ascii="Times New Roman" w:hAnsi="Times New Roman" w:cs="Times New Roman"/>
            <w:color w:val="auto"/>
          </w:rPr>
          <w:t>D</w:t>
        </w:r>
        <w:r w:rsidRPr="002B7548">
          <w:rPr>
            <w:rStyle w:val="Hyperlink"/>
            <w:rFonts w:ascii="Times New Roman" w:hAnsi="Times New Roman" w:cs="Times New Roman"/>
            <w:color w:val="auto"/>
          </w:rPr>
          <w:t>ocumentos de Política contra o COVID-19</w:t>
        </w:r>
      </w:hyperlink>
      <w:r w:rsidRPr="002B7548">
        <w:rPr>
          <w:rFonts w:ascii="Times New Roman" w:hAnsi="Times New Roman" w:cs="Times New Roman"/>
        </w:rPr>
        <w:t xml:space="preserve">, para promover uma reflexão coletiva sobre a resposta a essa crise e os seus efeitos econômicos e sociais. A série inclui uma análise regional e documentos que tratam do impacto socioeconômico </w:t>
      </w:r>
      <w:r w:rsidRPr="002B7548">
        <w:rPr>
          <w:rFonts w:ascii="Times New Roman" w:hAnsi="Times New Roman" w:cs="Times New Roman"/>
        </w:rPr>
        <w:lastRenderedPageBreak/>
        <w:t>da crise no nível de país. E</w:t>
      </w:r>
      <w:r w:rsidR="00D53669" w:rsidRPr="002B7548">
        <w:rPr>
          <w:rFonts w:ascii="Times New Roman" w:hAnsi="Times New Roman" w:cs="Times New Roman"/>
        </w:rPr>
        <w:t>la</w:t>
      </w:r>
      <w:r w:rsidRPr="002B7548">
        <w:rPr>
          <w:rFonts w:ascii="Times New Roman" w:hAnsi="Times New Roman" w:cs="Times New Roman"/>
        </w:rPr>
        <w:t xml:space="preserve"> também faz parte do enfoque integrado estabelecido pela reforma da ONU e aspira a se tornar uma contribuição importante para a resposta coerente do sistema de desenvolvimento das Nações Unidas nos níveis mundial, regional e nacional.</w:t>
      </w:r>
    </w:p>
    <w:p w14:paraId="289A6C88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25993" w14:textId="77777777" w:rsidR="00475D9D" w:rsidRPr="002B7548" w:rsidRDefault="00475D9D" w:rsidP="002B754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>3.8</w:t>
      </w:r>
      <w:r w:rsidRPr="002B7548">
        <w:rPr>
          <w:rFonts w:ascii="Times New Roman" w:hAnsi="Times New Roman" w:cs="Times New Roman"/>
          <w:b/>
          <w:bCs/>
        </w:rPr>
        <w:tab/>
        <w:t>Intervenção da Organização Internacional de Migrações (OIM)</w:t>
      </w:r>
    </w:p>
    <w:p w14:paraId="577330C5" w14:textId="77777777" w:rsidR="00475D9D" w:rsidRPr="002B7548" w:rsidRDefault="00475D9D" w:rsidP="002B754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922E3A2" w14:textId="77777777" w:rsidR="00475D9D" w:rsidRPr="002B7548" w:rsidRDefault="00475D9D" w:rsidP="002B754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O Senhor</w:t>
      </w:r>
      <w:r w:rsidRPr="002B7548">
        <w:rPr>
          <w:rFonts w:ascii="Times New Roman" w:hAnsi="Times New Roman" w:cs="Times New Roman"/>
          <w:b/>
          <w:bCs/>
        </w:rPr>
        <w:t xml:space="preserve"> </w:t>
      </w:r>
      <w:r w:rsidRPr="002B7548">
        <w:rPr>
          <w:rFonts w:ascii="Times New Roman" w:hAnsi="Times New Roman" w:cs="Times New Roman"/>
        </w:rPr>
        <w:t xml:space="preserve">Luca Dall’Oglio, Chefe de Missão, Escritório Washington D.C., enfatizou a necessidade da cooperação na crise </w:t>
      </w:r>
      <w:r w:rsidR="00D53669" w:rsidRPr="002B7548">
        <w:rPr>
          <w:rFonts w:ascii="Times New Roman" w:hAnsi="Times New Roman" w:cs="Times New Roman"/>
        </w:rPr>
        <w:t xml:space="preserve">atual </w:t>
      </w:r>
      <w:r w:rsidRPr="002B7548">
        <w:rPr>
          <w:rFonts w:ascii="Times New Roman" w:hAnsi="Times New Roman" w:cs="Times New Roman"/>
        </w:rPr>
        <w:t xml:space="preserve">devida ao COVID-19 e afirmou que essa situação coincide com a necessidade de se focar esforços nos grupos vulneráveis, em especial na população migrante. Outro assunto de grande preocupação para OIM é o impacto econômico </w:t>
      </w:r>
      <w:r w:rsidR="00D53669" w:rsidRPr="002B7548">
        <w:rPr>
          <w:rFonts w:ascii="Times New Roman" w:hAnsi="Times New Roman" w:cs="Times New Roman"/>
        </w:rPr>
        <w:t>d</w:t>
      </w:r>
      <w:r w:rsidRPr="002B7548">
        <w:rPr>
          <w:rFonts w:ascii="Times New Roman" w:hAnsi="Times New Roman" w:cs="Times New Roman"/>
        </w:rPr>
        <w:t>a diminuição das remessas</w:t>
      </w:r>
      <w:r w:rsidR="00D53669" w:rsidRPr="002B7548">
        <w:rPr>
          <w:rFonts w:ascii="Times New Roman" w:hAnsi="Times New Roman" w:cs="Times New Roman"/>
        </w:rPr>
        <w:t xml:space="preserve"> na região</w:t>
      </w:r>
      <w:r w:rsidRPr="002B7548">
        <w:rPr>
          <w:rFonts w:ascii="Times New Roman" w:hAnsi="Times New Roman" w:cs="Times New Roman"/>
        </w:rPr>
        <w:t>.</w:t>
      </w:r>
      <w:r w:rsidR="00DF11E8" w:rsidRPr="002B7548">
        <w:rPr>
          <w:rFonts w:ascii="Times New Roman" w:hAnsi="Times New Roman" w:cs="Times New Roman"/>
        </w:rPr>
        <w:t xml:space="preserve"> </w:t>
      </w:r>
      <w:r w:rsidRPr="002B7548">
        <w:rPr>
          <w:rFonts w:ascii="Times New Roman" w:hAnsi="Times New Roman" w:cs="Times New Roman"/>
        </w:rPr>
        <w:t>São três as frentes de importância especial:</w:t>
      </w:r>
    </w:p>
    <w:p w14:paraId="4A83B789" w14:textId="77777777" w:rsidR="00475D9D" w:rsidRPr="002B7548" w:rsidRDefault="00475D9D" w:rsidP="002B754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24DC03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Medidas especiais para os centros de atendimento de migrantes com vistas ao cumprimento das medidas básicas de saúde.</w:t>
      </w:r>
    </w:p>
    <w:p w14:paraId="33191F61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Acesso a sistemas de proteção jurídica e serviços sociais</w:t>
      </w:r>
    </w:p>
    <w:p w14:paraId="65D5A03B" w14:textId="77777777" w:rsidR="00475D9D" w:rsidRPr="002B7548" w:rsidRDefault="00475D9D" w:rsidP="008F1A1A">
      <w:pPr>
        <w:numPr>
          <w:ilvl w:val="0"/>
          <w:numId w:val="32"/>
        </w:numPr>
        <w:spacing w:after="0" w:line="240" w:lineRule="auto"/>
        <w:ind w:hanging="270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Medidas para o retorno de migrantes aos seus países de origem</w:t>
      </w:r>
    </w:p>
    <w:p w14:paraId="4F70E906" w14:textId="77777777" w:rsidR="00475D9D" w:rsidRPr="002B7548" w:rsidRDefault="00475D9D" w:rsidP="00365E29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14:paraId="719E8A17" w14:textId="2C7984E6" w:rsidR="00135524" w:rsidRDefault="00D15756" w:rsidP="00135524">
      <w:pPr>
        <w:spacing w:after="240"/>
        <w:rPr>
          <w:rFonts w:ascii="Times New Roman" w:hAnsi="Times New Roman"/>
        </w:rPr>
      </w:pPr>
      <w:r w:rsidRPr="00D15756">
        <w:rPr>
          <w:rFonts w:ascii="Times New Roman" w:hAnsi="Times New Roman" w:cs="Times New Roman"/>
        </w:rPr>
        <w:t>Mai</w:t>
      </w:r>
      <w:r w:rsidR="00E02FE4">
        <w:rPr>
          <w:rFonts w:ascii="Times New Roman" w:hAnsi="Times New Roman" w:cs="Times New Roman"/>
        </w:rPr>
        <w:t>s</w:t>
      </w:r>
      <w:r w:rsidRPr="00D15756">
        <w:rPr>
          <w:rFonts w:ascii="Times New Roman" w:hAnsi="Times New Roman" w:cs="Times New Roman"/>
        </w:rPr>
        <w:t xml:space="preserve"> detalhes sobre as apresentações feitas pelas organizações do GTCC estão disponíveis no seguinte link: </w:t>
      </w:r>
      <w:hyperlink r:id="rId16" w:tgtFrame="_blank" w:history="1">
        <w:r w:rsidR="00135524">
          <w:rPr>
            <w:rStyle w:val="Hyperlink"/>
          </w:rPr>
          <w:t>http://scm.oas.org/pdfs/2020/SUMMIT/GTCCCOVID19.PDF</w:t>
        </w:r>
      </w:hyperlink>
    </w:p>
    <w:p w14:paraId="39A8731B" w14:textId="6FA1BD46" w:rsidR="00475D9D" w:rsidRPr="002B7548" w:rsidRDefault="00ED576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75D9D" w:rsidRPr="002B7548">
        <w:rPr>
          <w:rFonts w:ascii="Times New Roman" w:hAnsi="Times New Roman" w:cs="Times New Roman"/>
        </w:rPr>
        <w:t>epois das intervenções das entidades do GTCC, o Secretário-Geral da OEA cedeu a palavra ao representante da Presidência do Processo de Cúpulas.</w:t>
      </w:r>
    </w:p>
    <w:p w14:paraId="0E54AA2E" w14:textId="77777777" w:rsidR="00475D9D" w:rsidRPr="002B7548" w:rsidRDefault="00475D9D" w:rsidP="002B7548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14:paraId="6111523E" w14:textId="77777777" w:rsidR="00475D9D" w:rsidRPr="002B7548" w:rsidRDefault="00475D9D" w:rsidP="002B7548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>Intervenção da Presidência do Processo de Cúpulas</w:t>
      </w:r>
    </w:p>
    <w:p w14:paraId="708D02D1" w14:textId="77777777" w:rsidR="00365E29" w:rsidRDefault="00365E29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14:paraId="6CB1F426" w14:textId="77777777" w:rsidR="00475D9D" w:rsidRPr="002B7548" w:rsidRDefault="00475D9D" w:rsidP="002B7548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O Coordenador Nacional do Peru no Processo de Cúpulas, Embaixador Luis Enrique Chávez Bassagoitia, representando a Presidência do Processo de Cúpulas, afirmou que o Comunicado Conjunto que o GTCC emitirá, como proposto na reunião, será de grande utilidade.</w:t>
      </w:r>
      <w:r w:rsidR="00DF11E8" w:rsidRPr="002B7548">
        <w:rPr>
          <w:rFonts w:ascii="Times New Roman" w:hAnsi="Times New Roman" w:cs="Times New Roman"/>
        </w:rPr>
        <w:t xml:space="preserve"> </w:t>
      </w:r>
      <w:r w:rsidRPr="002B7548">
        <w:rPr>
          <w:rFonts w:ascii="Times New Roman" w:hAnsi="Times New Roman" w:cs="Times New Roman"/>
        </w:rPr>
        <w:t>Neste sentido, incentivou as autoridades das entidades do GTCC a continuar trabalhando e apoiando os esforços que os países estão realizando para enfrentar a pandemia do COVID-19, que submeteu todos os seus sistemas de saúde</w:t>
      </w:r>
      <w:r w:rsidR="00D53669" w:rsidRPr="002B7548">
        <w:rPr>
          <w:rFonts w:ascii="Times New Roman" w:hAnsi="Times New Roman" w:cs="Times New Roman"/>
        </w:rPr>
        <w:t xml:space="preserve"> a um duro teste</w:t>
      </w:r>
      <w:r w:rsidRPr="002B7548">
        <w:rPr>
          <w:rFonts w:ascii="Times New Roman" w:hAnsi="Times New Roman" w:cs="Times New Roman"/>
        </w:rPr>
        <w:t>. Como reflexão</w:t>
      </w:r>
      <w:r w:rsidR="00D53669" w:rsidRPr="002B7548">
        <w:rPr>
          <w:rFonts w:ascii="Times New Roman" w:hAnsi="Times New Roman" w:cs="Times New Roman"/>
        </w:rPr>
        <w:t>,</w:t>
      </w:r>
      <w:r w:rsidRPr="002B7548">
        <w:rPr>
          <w:rFonts w:ascii="Times New Roman" w:hAnsi="Times New Roman" w:cs="Times New Roman"/>
        </w:rPr>
        <w:t xml:space="preserve"> propôs a importância de, passada essa crise, as agências apoiarem os Estados na sua programação. Afirmou também que, embora </w:t>
      </w:r>
      <w:r w:rsidR="00D53669" w:rsidRPr="002B7548">
        <w:rPr>
          <w:rFonts w:ascii="Times New Roman" w:hAnsi="Times New Roman" w:cs="Times New Roman"/>
        </w:rPr>
        <w:t xml:space="preserve">no momento </w:t>
      </w:r>
      <w:r w:rsidRPr="002B7548">
        <w:rPr>
          <w:rFonts w:ascii="Times New Roman" w:hAnsi="Times New Roman" w:cs="Times New Roman"/>
        </w:rPr>
        <w:t>estejam sendo discutidos mecanismos econômic</w:t>
      </w:r>
      <w:r w:rsidR="00D53669" w:rsidRPr="002B7548">
        <w:rPr>
          <w:rFonts w:ascii="Times New Roman" w:hAnsi="Times New Roman" w:cs="Times New Roman"/>
        </w:rPr>
        <w:t>os</w:t>
      </w:r>
      <w:r w:rsidRPr="002B7548">
        <w:rPr>
          <w:rFonts w:ascii="Times New Roman" w:hAnsi="Times New Roman" w:cs="Times New Roman"/>
        </w:rPr>
        <w:t xml:space="preserve"> e de saúde, fundamentais para a resposta imediata, não se deve esquecer que, a partir da OEA e no processo de acompanhamento das Cúpulas, existe um espaço para a reflexão sobre como</w:t>
      </w:r>
      <w:r w:rsidR="00D53669" w:rsidRPr="002B7548">
        <w:rPr>
          <w:rFonts w:ascii="Times New Roman" w:hAnsi="Times New Roman" w:cs="Times New Roman"/>
        </w:rPr>
        <w:t>,</w:t>
      </w:r>
      <w:r w:rsidRPr="002B7548">
        <w:rPr>
          <w:rFonts w:ascii="Times New Roman" w:hAnsi="Times New Roman" w:cs="Times New Roman"/>
        </w:rPr>
        <w:t xml:space="preserve"> depois de tudo isso</w:t>
      </w:r>
      <w:r w:rsidR="00D53669" w:rsidRPr="002B7548">
        <w:rPr>
          <w:rFonts w:ascii="Times New Roman" w:hAnsi="Times New Roman" w:cs="Times New Roman"/>
        </w:rPr>
        <w:t>, nos organizarmos</w:t>
      </w:r>
      <w:r w:rsidRPr="002B7548">
        <w:rPr>
          <w:rFonts w:ascii="Times New Roman" w:hAnsi="Times New Roman" w:cs="Times New Roman"/>
        </w:rPr>
        <w:t xml:space="preserve"> para que o continente possa estar muito mais preparado para situações inesperadas como a atual. </w:t>
      </w:r>
    </w:p>
    <w:p w14:paraId="2D505AC6" w14:textId="77777777" w:rsidR="00E906A6" w:rsidRDefault="00E906A6" w:rsidP="00365E29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14:paraId="01F04920" w14:textId="7EB71EE4" w:rsidR="00475D9D" w:rsidRPr="002B7548" w:rsidRDefault="00475D9D" w:rsidP="00365E29">
      <w:pPr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  <w:r w:rsidRPr="002B7548">
        <w:rPr>
          <w:rFonts w:ascii="Times New Roman" w:hAnsi="Times New Roman" w:cs="Times New Roman"/>
          <w:b/>
          <w:bCs/>
        </w:rPr>
        <w:t>4.</w:t>
      </w:r>
      <w:r w:rsidRPr="002B7548">
        <w:rPr>
          <w:rFonts w:ascii="Times New Roman" w:hAnsi="Times New Roman" w:cs="Times New Roman"/>
          <w:b/>
          <w:bCs/>
        </w:rPr>
        <w:tab/>
        <w:t>Conclusões</w:t>
      </w:r>
    </w:p>
    <w:p w14:paraId="7A31F2B7" w14:textId="77777777" w:rsidR="00365E29" w:rsidRDefault="00365E29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6939491F" w14:textId="77777777" w:rsidR="00475D9D" w:rsidRDefault="00475D9D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  <w:r w:rsidRPr="002B7548">
        <w:rPr>
          <w:sz w:val="22"/>
          <w:szCs w:val="22"/>
        </w:rPr>
        <w:t xml:space="preserve">As organizações do GTCC mencionaram a implementação ou a necessidade de implementação, entre outras, das medidas de: </w:t>
      </w:r>
    </w:p>
    <w:p w14:paraId="55B71795" w14:textId="77777777" w:rsidR="00365E29" w:rsidRPr="002B7548" w:rsidRDefault="00365E29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6C10897D" w14:textId="77777777" w:rsidR="00475D9D" w:rsidRPr="002B7548" w:rsidRDefault="00475D9D" w:rsidP="008F1A1A">
      <w:pPr>
        <w:numPr>
          <w:ilvl w:val="0"/>
          <w:numId w:val="43"/>
        </w:num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Apoio à emergência</w:t>
      </w:r>
    </w:p>
    <w:p w14:paraId="517782DC" w14:textId="77777777" w:rsidR="00475D9D" w:rsidRPr="002B7548" w:rsidRDefault="00475D9D" w:rsidP="008F1A1A">
      <w:pPr>
        <w:numPr>
          <w:ilvl w:val="0"/>
          <w:numId w:val="43"/>
        </w:num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Fortalecimento dos sistemas de saúde</w:t>
      </w:r>
    </w:p>
    <w:p w14:paraId="70E414E6" w14:textId="77777777" w:rsidR="00475D9D" w:rsidRPr="002B7548" w:rsidRDefault="00475D9D" w:rsidP="008F1A1A">
      <w:pPr>
        <w:numPr>
          <w:ilvl w:val="0"/>
          <w:numId w:val="43"/>
        </w:num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Mitigação dos efeitos econômicos</w:t>
      </w:r>
    </w:p>
    <w:p w14:paraId="7902B9BB" w14:textId="77777777" w:rsidR="00475D9D" w:rsidRPr="002B7548" w:rsidRDefault="00475D9D" w:rsidP="008F1A1A">
      <w:pPr>
        <w:numPr>
          <w:ilvl w:val="0"/>
          <w:numId w:val="43"/>
        </w:num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 xml:space="preserve">Flexibilização do uso de recursos financeiros </w:t>
      </w:r>
    </w:p>
    <w:p w14:paraId="789C36A3" w14:textId="77777777" w:rsidR="00475D9D" w:rsidRPr="002B7548" w:rsidRDefault="00475D9D" w:rsidP="008F1A1A">
      <w:pPr>
        <w:numPr>
          <w:ilvl w:val="0"/>
          <w:numId w:val="43"/>
        </w:num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Apoio às MPMEs e proteção ao emprego e à renda</w:t>
      </w:r>
    </w:p>
    <w:p w14:paraId="1BE90739" w14:textId="77777777" w:rsidR="00475D9D" w:rsidRPr="002B7548" w:rsidRDefault="00475D9D" w:rsidP="00232F68">
      <w:pPr>
        <w:numPr>
          <w:ilvl w:val="0"/>
          <w:numId w:val="43"/>
        </w:num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lastRenderedPageBreak/>
        <w:t>Apoio às populações desproporcionalmente impactadas pela crise, entre as quais estão as mulheres empregadas em setores mais afetados e a população migrante.</w:t>
      </w:r>
    </w:p>
    <w:p w14:paraId="55C6E0DC" w14:textId="77777777" w:rsidR="00475D9D" w:rsidRPr="002B7548" w:rsidRDefault="00475D9D" w:rsidP="00232F68">
      <w:pPr>
        <w:numPr>
          <w:ilvl w:val="0"/>
          <w:numId w:val="43"/>
        </w:numPr>
        <w:spacing w:after="0" w:line="240" w:lineRule="auto"/>
        <w:ind w:left="720" w:hanging="270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Apoio aos países do Caribe, que serão duplamente afetados, bem como aos países de baixa e média rendas altamente endividados.</w:t>
      </w:r>
    </w:p>
    <w:p w14:paraId="49AD38E1" w14:textId="77777777" w:rsidR="00365E29" w:rsidRDefault="00365E29" w:rsidP="002B75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6BEB3B" w14:textId="77777777" w:rsidR="00475D9D" w:rsidRPr="002B7548" w:rsidRDefault="00475D9D" w:rsidP="002B75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7548">
        <w:rPr>
          <w:rFonts w:ascii="Times New Roman" w:hAnsi="Times New Roman" w:cs="Times New Roman"/>
        </w:rPr>
        <w:t>Além disso, concordaram em que a crise gerada pelo COVID-19 leva ao fortalecimento do multilateralismo na região, pois hoje, mais que nunca, se requerem esforços globais para se atender a uma situação que ultrapassa as capacidades individuais dos países da região.</w:t>
      </w:r>
    </w:p>
    <w:p w14:paraId="682BE197" w14:textId="77777777" w:rsidR="00365E29" w:rsidRDefault="00365E29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767A4FAB" w14:textId="77777777" w:rsidR="00475D9D" w:rsidRPr="002B7548" w:rsidRDefault="00475D9D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  <w:r w:rsidRPr="002B7548">
        <w:rPr>
          <w:sz w:val="22"/>
          <w:szCs w:val="22"/>
        </w:rPr>
        <w:t>As entidades concordaram em que a crise provocada por essa pandemia terá consequências econômicas e sociais graves para a região, sendo necessária uma estratégia inclusiva para haver maior proatividade no apoio aos países da região.</w:t>
      </w:r>
    </w:p>
    <w:p w14:paraId="4D4F4FF3" w14:textId="77777777" w:rsidR="00365E29" w:rsidRDefault="00365E29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76BB0EA4" w14:textId="77777777" w:rsidR="00475D9D" w:rsidRPr="002B7548" w:rsidRDefault="00475D9D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  <w:r w:rsidRPr="002B7548">
        <w:rPr>
          <w:sz w:val="22"/>
          <w:szCs w:val="22"/>
        </w:rPr>
        <w:t>As organizações do GTCC também destacaram a necessidade de flexibilização na utilização dos recursos financeiros no curto prazo, da solidariedade regional e do compromisso de se dar continuidade aos esforços de coordenação para fortalecer</w:t>
      </w:r>
      <w:r w:rsidR="00D53669" w:rsidRPr="002B7548">
        <w:rPr>
          <w:sz w:val="22"/>
          <w:szCs w:val="22"/>
        </w:rPr>
        <w:t>,</w:t>
      </w:r>
      <w:r w:rsidRPr="002B7548">
        <w:rPr>
          <w:sz w:val="22"/>
          <w:szCs w:val="22"/>
        </w:rPr>
        <w:t xml:space="preserve"> nos níveis nacional e regional</w:t>
      </w:r>
      <w:r w:rsidR="00D53669" w:rsidRPr="002B7548">
        <w:rPr>
          <w:sz w:val="22"/>
          <w:szCs w:val="22"/>
        </w:rPr>
        <w:t>, capacidades de resposta</w:t>
      </w:r>
      <w:r w:rsidRPr="002B7548">
        <w:rPr>
          <w:sz w:val="22"/>
          <w:szCs w:val="22"/>
        </w:rPr>
        <w:t xml:space="preserve"> que permitam atender às múltiplas dimensões da crise ocasionada pela pandemia do COVID-19.</w:t>
      </w:r>
      <w:r w:rsidR="00DF11E8" w:rsidRPr="002B7548">
        <w:rPr>
          <w:sz w:val="22"/>
          <w:szCs w:val="22"/>
        </w:rPr>
        <w:t xml:space="preserve"> </w:t>
      </w:r>
    </w:p>
    <w:p w14:paraId="012DA2F7" w14:textId="77777777" w:rsidR="00365E29" w:rsidRDefault="00365E29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4ED19B19" w14:textId="437056DC" w:rsidR="00475D9D" w:rsidRDefault="004A56AC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50E3067" wp14:editId="444C6FF8">
                <wp:simplePos x="0" y="0"/>
                <wp:positionH relativeFrom="column">
                  <wp:posOffset>-91440</wp:posOffset>
                </wp:positionH>
                <wp:positionV relativeFrom="page">
                  <wp:posOffset>8467725</wp:posOffset>
                </wp:positionV>
                <wp:extent cx="3383280" cy="228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GoBack"/>
                          <w:p w14:paraId="4D61227E" w14:textId="77777777" w:rsidR="00240C21" w:rsidRPr="00184635" w:rsidRDefault="00240C21" w:rsidP="00240C2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E3FEF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cmbrs01784p01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666.7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pPtg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" filled="f" stroked="f">
                <v:textbox>
                  <w:txbxContent>
                    <w:bookmarkStart w:id="2" w:name="_GoBack"/>
                    <w:p w14:paraId="4D61227E" w14:textId="77777777" w:rsidR="00240C21" w:rsidRPr="00184635" w:rsidRDefault="00240C21" w:rsidP="00240C2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E3FEF">
                        <w:rPr>
                          <w:rFonts w:ascii="Times New Roman" w:hAnsi="Times New Roman"/>
                          <w:noProof/>
                          <w:sz w:val="18"/>
                        </w:rPr>
                        <w:t>cmbrs01784p01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75D9D" w:rsidRPr="002B7548">
        <w:rPr>
          <w:sz w:val="22"/>
          <w:szCs w:val="22"/>
        </w:rPr>
        <w:t>Os membros do GTCC acordaram reunir-se periodicamente a fim de assegurar uma coordenação contínua e atualizar as informações compartilhadas.</w:t>
      </w:r>
    </w:p>
    <w:p w14:paraId="5228FD2C" w14:textId="4CB905F1" w:rsidR="00E906A6" w:rsidRDefault="00E906A6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48CF1DDA" w14:textId="77777777" w:rsidR="00E906A6" w:rsidRDefault="00E906A6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09D66711" w14:textId="77777777" w:rsidR="00E906A6" w:rsidRDefault="00E906A6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27208845" w14:textId="77777777" w:rsidR="00E906A6" w:rsidRDefault="00E906A6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p w14:paraId="759227B5" w14:textId="77777777" w:rsidR="00C6159B" w:rsidRPr="002B7548" w:rsidRDefault="00C6159B" w:rsidP="002B7548">
      <w:pPr>
        <w:pStyle w:val="ydpd61566f9yiv1548390908msonormal"/>
        <w:spacing w:before="0" w:beforeAutospacing="0" w:after="0" w:afterAutospacing="0"/>
        <w:jc w:val="both"/>
        <w:rPr>
          <w:sz w:val="22"/>
          <w:szCs w:val="22"/>
        </w:rPr>
      </w:pPr>
    </w:p>
    <w:sectPr w:rsidR="00C6159B" w:rsidRPr="002B7548" w:rsidSect="008F1A1A">
      <w:headerReference w:type="default" r:id="rId17"/>
      <w:headerReference w:type="first" r:id="rId18"/>
      <w:pgSz w:w="12240" w:h="15840"/>
      <w:pgMar w:top="2160" w:right="1570" w:bottom="1296" w:left="198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8A95" w14:textId="77777777" w:rsidR="005D2371" w:rsidRDefault="005D2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EB2DA55" w14:textId="77777777" w:rsidR="005D2371" w:rsidRDefault="005D2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14:paraId="5B5F7C11" w14:textId="520FA859" w:rsidR="00B340D0" w:rsidRPr="00F0505D" w:rsidRDefault="00B340D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12ACD">
        <w:rPr>
          <w:rFonts w:ascii="Times New Roman" w:hAnsi="Times New Roman" w:cs="Times New Roman"/>
          <w:color w:val="222222"/>
        </w:rPr>
        <w:t>O Grupo de Trabalho Conjunto de Cúpulas (GTCC) está integrado pelas seguintes organizações: Organização dos Estados Americanos (OEA), Banco Interamericano de Desenvolvimento (BID), Comissão Econômica para a América Latina e o Caribe (CEPAL), Organização Pan-Americana da Saúde (OPAS), Banco Mundial, Instituto Interamericano de Cooperação para a Agricultura (IICA), Banco de Desenvolvimento da América Latina (CAF), Banco de Desenvolvimento do Caribe (BDC), Banco Centro-Americano de Integração Econômica (BCIE), Organização Internacional de Migrações (OIM), Organização Internacional do Trabalho (OIT), Programa das Nações Unidas para o Desenvolvimento (PNUD) e Organização para a Cooperação e o Desenvolvimento Econômico (OCDE).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84D9F" w14:textId="77777777" w:rsidR="005D2371" w:rsidRDefault="005D2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3AB2EA7" w14:textId="77777777" w:rsidR="005D2371" w:rsidRDefault="005D2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46473" w14:textId="77777777" w:rsidR="00475D9D" w:rsidRDefault="00475D9D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62A18">
      <w:rPr>
        <w:rFonts w:ascii="Times New Roman" w:hAnsi="Times New Roman" w:cs="Times New Roman"/>
        <w:noProof/>
        <w:sz w:val="20"/>
        <w:szCs w:val="20"/>
      </w:rPr>
      <w:t>- 2 -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3DEE91A1" w14:textId="77777777" w:rsidR="00475D9D" w:rsidRDefault="00475D9D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E169" w14:textId="0A316463" w:rsidR="002B7548" w:rsidRDefault="004A56A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E692A87" wp14:editId="19DB3949">
          <wp:simplePos x="0" y="0"/>
          <wp:positionH relativeFrom="column">
            <wp:posOffset>4437380</wp:posOffset>
          </wp:positionH>
          <wp:positionV relativeFrom="paragraph">
            <wp:posOffset>0</wp:posOffset>
          </wp:positionV>
          <wp:extent cx="1089025" cy="1028700"/>
          <wp:effectExtent l="0" t="0" r="0" b="0"/>
          <wp:wrapSquare wrapText="bothSides"/>
          <wp:docPr id="5" name="Picture 2" descr="C:\Users\asantos\AppData\Local\Microsoft\Windows\INetCache\Content.Outlook\U8BCDAZA\pt_v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antos\AppData\Local\Microsoft\Windows\INetCache\Content.Outlook\U8BCDAZA\pt_v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50"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US" w:eastAsia="en-US"/>
      </w:rPr>
      <w:drawing>
        <wp:inline distT="0" distB="0" distL="0" distR="0" wp14:anchorId="066FCD14" wp14:editId="64B8B49C">
          <wp:extent cx="952500" cy="1028700"/>
          <wp:effectExtent l="0" t="0" r="0" b="0"/>
          <wp:docPr id="4" name="Picture 1" descr="C:\Users\asantos\AppData\Local\Microsoft\Windows\INetCache\Content.Outlook\U8BCDAZA\pt_v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ntos\AppData\Local\Microsoft\Windows\INetCache\Content.Outlook\U8BCDAZA\pt_v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39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558"/>
    <w:multiLevelType w:val="hybridMultilevel"/>
    <w:tmpl w:val="67660C2E"/>
    <w:lvl w:ilvl="0" w:tplc="04090001">
      <w:start w:val="2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D12AF"/>
    <w:multiLevelType w:val="hybridMultilevel"/>
    <w:tmpl w:val="110C6AF8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2">
    <w:nsid w:val="0F11267D"/>
    <w:multiLevelType w:val="hybridMultilevel"/>
    <w:tmpl w:val="217C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2D814FA"/>
    <w:multiLevelType w:val="hybridMultilevel"/>
    <w:tmpl w:val="D002831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2F31666"/>
    <w:multiLevelType w:val="hybridMultilevel"/>
    <w:tmpl w:val="FB827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15FB6969"/>
    <w:multiLevelType w:val="hybridMultilevel"/>
    <w:tmpl w:val="7908A0EE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cs="Wingdings" w:hint="default"/>
      </w:rPr>
    </w:lvl>
  </w:abstractNum>
  <w:abstractNum w:abstractNumId="6">
    <w:nsid w:val="19E04CC5"/>
    <w:multiLevelType w:val="multilevel"/>
    <w:tmpl w:val="ECFE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A6E216E"/>
    <w:multiLevelType w:val="hybridMultilevel"/>
    <w:tmpl w:val="42B8E4BC"/>
    <w:lvl w:ilvl="0" w:tplc="E6B412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B8D2F77"/>
    <w:multiLevelType w:val="hybridMultilevel"/>
    <w:tmpl w:val="28DCE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942CF2"/>
    <w:multiLevelType w:val="hybridMultilevel"/>
    <w:tmpl w:val="04DE35F8"/>
    <w:lvl w:ilvl="0" w:tplc="E6B412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1D2E11E5"/>
    <w:multiLevelType w:val="hybridMultilevel"/>
    <w:tmpl w:val="68723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2F7204"/>
    <w:multiLevelType w:val="hybridMultilevel"/>
    <w:tmpl w:val="864ED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0505E07"/>
    <w:multiLevelType w:val="hybridMultilevel"/>
    <w:tmpl w:val="D86EAE5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220002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5427D"/>
    <w:multiLevelType w:val="hybridMultilevel"/>
    <w:tmpl w:val="370C2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8A4952"/>
    <w:multiLevelType w:val="hybridMultilevel"/>
    <w:tmpl w:val="17AC7160"/>
    <w:lvl w:ilvl="0" w:tplc="E6B412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DA14801"/>
    <w:multiLevelType w:val="hybridMultilevel"/>
    <w:tmpl w:val="06DEB190"/>
    <w:lvl w:ilvl="0" w:tplc="DF869E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791733"/>
    <w:multiLevelType w:val="hybridMultilevel"/>
    <w:tmpl w:val="11A07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1E54931"/>
    <w:multiLevelType w:val="hybridMultilevel"/>
    <w:tmpl w:val="270A2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3D0649A"/>
    <w:multiLevelType w:val="hybridMultilevel"/>
    <w:tmpl w:val="7A8A64CE"/>
    <w:lvl w:ilvl="0" w:tplc="7F6831A8">
      <w:start w:val="3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50A061F"/>
    <w:multiLevelType w:val="hybridMultilevel"/>
    <w:tmpl w:val="1D5A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8B651A9"/>
    <w:multiLevelType w:val="hybridMultilevel"/>
    <w:tmpl w:val="0192794C"/>
    <w:lvl w:ilvl="0" w:tplc="E6B412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3BB55785"/>
    <w:multiLevelType w:val="hybridMultilevel"/>
    <w:tmpl w:val="94F62F52"/>
    <w:lvl w:ilvl="0" w:tplc="213200B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09B2B00"/>
    <w:multiLevelType w:val="hybridMultilevel"/>
    <w:tmpl w:val="C220CF9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1AE0521"/>
    <w:multiLevelType w:val="hybridMultilevel"/>
    <w:tmpl w:val="0B4E175E"/>
    <w:lvl w:ilvl="0" w:tplc="04090001">
      <w:start w:val="1"/>
      <w:numFmt w:val="bullet"/>
      <w:lvlText w:val=""/>
      <w:lvlJc w:val="left"/>
      <w:pPr>
        <w:ind w:left="-3334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-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9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-117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-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cs="Wingdings" w:hint="default"/>
      </w:rPr>
    </w:lvl>
  </w:abstractNum>
  <w:abstractNum w:abstractNumId="25">
    <w:nsid w:val="44ED0877"/>
    <w:multiLevelType w:val="hybridMultilevel"/>
    <w:tmpl w:val="83F0F50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6E200D0"/>
    <w:multiLevelType w:val="hybridMultilevel"/>
    <w:tmpl w:val="C9FC62FA"/>
    <w:lvl w:ilvl="0" w:tplc="E6B412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AFE2A5C"/>
    <w:multiLevelType w:val="hybridMultilevel"/>
    <w:tmpl w:val="79ECF472"/>
    <w:lvl w:ilvl="0" w:tplc="E6B412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4011EE"/>
    <w:multiLevelType w:val="hybridMultilevel"/>
    <w:tmpl w:val="022EED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57FC1C45"/>
    <w:multiLevelType w:val="hybridMultilevel"/>
    <w:tmpl w:val="2514D9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107FC"/>
    <w:multiLevelType w:val="hybridMultilevel"/>
    <w:tmpl w:val="120A5E08"/>
    <w:lvl w:ilvl="0" w:tplc="E6B412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5E787449"/>
    <w:multiLevelType w:val="hybridMultilevel"/>
    <w:tmpl w:val="9474BBA0"/>
    <w:lvl w:ilvl="0" w:tplc="04090001">
      <w:start w:val="2"/>
      <w:numFmt w:val="bullet"/>
      <w:lvlText w:val="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F6C6F9C"/>
    <w:multiLevelType w:val="hybridMultilevel"/>
    <w:tmpl w:val="2BC22810"/>
    <w:lvl w:ilvl="0" w:tplc="169251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6A62BD9"/>
    <w:multiLevelType w:val="hybridMultilevel"/>
    <w:tmpl w:val="B400152A"/>
    <w:lvl w:ilvl="0" w:tplc="9B1CEE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70D286F"/>
    <w:multiLevelType w:val="hybridMultilevel"/>
    <w:tmpl w:val="E50E0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6791735B"/>
    <w:multiLevelType w:val="hybridMultilevel"/>
    <w:tmpl w:val="97365D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36">
    <w:nsid w:val="67D47AC1"/>
    <w:multiLevelType w:val="hybridMultilevel"/>
    <w:tmpl w:val="1E725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>
    <w:nsid w:val="6AB20635"/>
    <w:multiLevelType w:val="hybridMultilevel"/>
    <w:tmpl w:val="C1D81A0C"/>
    <w:lvl w:ilvl="0" w:tplc="E6B412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753C46EA"/>
    <w:multiLevelType w:val="hybridMultilevel"/>
    <w:tmpl w:val="5EA8B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78330562"/>
    <w:multiLevelType w:val="hybridMultilevel"/>
    <w:tmpl w:val="3F063C20"/>
    <w:lvl w:ilvl="0" w:tplc="E6B412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796F5BA9"/>
    <w:multiLevelType w:val="hybridMultilevel"/>
    <w:tmpl w:val="78E2DAEC"/>
    <w:lvl w:ilvl="0" w:tplc="0EB22462"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CAA4F30"/>
    <w:multiLevelType w:val="hybridMultilevel"/>
    <w:tmpl w:val="EEDE71CC"/>
    <w:lvl w:ilvl="0" w:tplc="02887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41"/>
  </w:num>
  <w:num w:numId="4">
    <w:abstractNumId w:val="14"/>
  </w:num>
  <w:num w:numId="5">
    <w:abstractNumId w:val="23"/>
  </w:num>
  <w:num w:numId="6">
    <w:abstractNumId w:val="25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31"/>
  </w:num>
  <w:num w:numId="12">
    <w:abstractNumId w:val="13"/>
  </w:num>
  <w:num w:numId="13">
    <w:abstractNumId w:val="17"/>
  </w:num>
  <w:num w:numId="14">
    <w:abstractNumId w:val="28"/>
  </w:num>
  <w:num w:numId="15">
    <w:abstractNumId w:val="19"/>
  </w:num>
  <w:num w:numId="16">
    <w:abstractNumId w:val="5"/>
  </w:num>
  <w:num w:numId="17">
    <w:abstractNumId w:val="1"/>
  </w:num>
  <w:num w:numId="18">
    <w:abstractNumId w:val="4"/>
  </w:num>
  <w:num w:numId="19">
    <w:abstractNumId w:val="2"/>
  </w:num>
  <w:num w:numId="20">
    <w:abstractNumId w:val="11"/>
  </w:num>
  <w:num w:numId="21">
    <w:abstractNumId w:val="20"/>
  </w:num>
  <w:num w:numId="22">
    <w:abstractNumId w:val="18"/>
  </w:num>
  <w:num w:numId="23">
    <w:abstractNumId w:val="36"/>
  </w:num>
  <w:num w:numId="24">
    <w:abstractNumId w:val="12"/>
  </w:num>
  <w:num w:numId="25">
    <w:abstractNumId w:val="38"/>
  </w:num>
  <w:num w:numId="26">
    <w:abstractNumId w:val="32"/>
  </w:num>
  <w:num w:numId="27">
    <w:abstractNumId w:val="22"/>
  </w:num>
  <w:num w:numId="28">
    <w:abstractNumId w:val="33"/>
  </w:num>
  <w:num w:numId="29">
    <w:abstractNumId w:val="30"/>
  </w:num>
  <w:num w:numId="30">
    <w:abstractNumId w:val="37"/>
  </w:num>
  <w:num w:numId="31">
    <w:abstractNumId w:val="9"/>
  </w:num>
  <w:num w:numId="32">
    <w:abstractNumId w:val="15"/>
  </w:num>
  <w:num w:numId="33">
    <w:abstractNumId w:val="24"/>
  </w:num>
  <w:num w:numId="34">
    <w:abstractNumId w:val="21"/>
  </w:num>
  <w:num w:numId="35">
    <w:abstractNumId w:val="34"/>
  </w:num>
  <w:num w:numId="36">
    <w:abstractNumId w:val="27"/>
  </w:num>
  <w:num w:numId="37">
    <w:abstractNumId w:val="35"/>
  </w:num>
  <w:num w:numId="38">
    <w:abstractNumId w:val="26"/>
  </w:num>
  <w:num w:numId="39">
    <w:abstractNumId w:val="39"/>
  </w:num>
  <w:num w:numId="40">
    <w:abstractNumId w:val="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A"/>
    <w:rsid w:val="0000355B"/>
    <w:rsid w:val="00012F42"/>
    <w:rsid w:val="00025D26"/>
    <w:rsid w:val="000464C7"/>
    <w:rsid w:val="000641A8"/>
    <w:rsid w:val="00064AA2"/>
    <w:rsid w:val="0007022B"/>
    <w:rsid w:val="000A15BC"/>
    <w:rsid w:val="000A47CB"/>
    <w:rsid w:val="000D159C"/>
    <w:rsid w:val="0013272D"/>
    <w:rsid w:val="00135524"/>
    <w:rsid w:val="00137832"/>
    <w:rsid w:val="001513B3"/>
    <w:rsid w:val="00156F3E"/>
    <w:rsid w:val="00165291"/>
    <w:rsid w:val="00177293"/>
    <w:rsid w:val="00184635"/>
    <w:rsid w:val="001971EF"/>
    <w:rsid w:val="001A17C5"/>
    <w:rsid w:val="001C5AC5"/>
    <w:rsid w:val="001D1895"/>
    <w:rsid w:val="001E45F4"/>
    <w:rsid w:val="00232F68"/>
    <w:rsid w:val="00240C21"/>
    <w:rsid w:val="0027208A"/>
    <w:rsid w:val="002741E2"/>
    <w:rsid w:val="002812FE"/>
    <w:rsid w:val="002A0D80"/>
    <w:rsid w:val="002A550C"/>
    <w:rsid w:val="002B7548"/>
    <w:rsid w:val="002B793D"/>
    <w:rsid w:val="002C7534"/>
    <w:rsid w:val="002E7B3F"/>
    <w:rsid w:val="00357587"/>
    <w:rsid w:val="00365E29"/>
    <w:rsid w:val="003A2CEB"/>
    <w:rsid w:val="003B4A92"/>
    <w:rsid w:val="00436662"/>
    <w:rsid w:val="00457BA8"/>
    <w:rsid w:val="004600D4"/>
    <w:rsid w:val="00462B7E"/>
    <w:rsid w:val="00474041"/>
    <w:rsid w:val="004754F9"/>
    <w:rsid w:val="00475D9D"/>
    <w:rsid w:val="00495FCA"/>
    <w:rsid w:val="004A56AC"/>
    <w:rsid w:val="004A63F1"/>
    <w:rsid w:val="004B1DBA"/>
    <w:rsid w:val="004D0F94"/>
    <w:rsid w:val="005068EB"/>
    <w:rsid w:val="005105CF"/>
    <w:rsid w:val="00512EB7"/>
    <w:rsid w:val="00520B05"/>
    <w:rsid w:val="00542749"/>
    <w:rsid w:val="005436B0"/>
    <w:rsid w:val="005460A9"/>
    <w:rsid w:val="005643F5"/>
    <w:rsid w:val="00585C31"/>
    <w:rsid w:val="005C1CD1"/>
    <w:rsid w:val="005D2371"/>
    <w:rsid w:val="00600C02"/>
    <w:rsid w:val="006A0C89"/>
    <w:rsid w:val="006A56A7"/>
    <w:rsid w:val="007001B3"/>
    <w:rsid w:val="00700AAC"/>
    <w:rsid w:val="00750F2E"/>
    <w:rsid w:val="007518BC"/>
    <w:rsid w:val="00753E38"/>
    <w:rsid w:val="00755106"/>
    <w:rsid w:val="00784676"/>
    <w:rsid w:val="00786287"/>
    <w:rsid w:val="007937FF"/>
    <w:rsid w:val="007959C8"/>
    <w:rsid w:val="007B15DF"/>
    <w:rsid w:val="007B4BDF"/>
    <w:rsid w:val="007C1959"/>
    <w:rsid w:val="007C3E63"/>
    <w:rsid w:val="007E4A44"/>
    <w:rsid w:val="007E769B"/>
    <w:rsid w:val="007F30AE"/>
    <w:rsid w:val="007F43C2"/>
    <w:rsid w:val="007F62B7"/>
    <w:rsid w:val="00812E53"/>
    <w:rsid w:val="0081320F"/>
    <w:rsid w:val="008505DB"/>
    <w:rsid w:val="0088135D"/>
    <w:rsid w:val="008D5275"/>
    <w:rsid w:val="008E5F06"/>
    <w:rsid w:val="008F1A1A"/>
    <w:rsid w:val="009173F9"/>
    <w:rsid w:val="00944B01"/>
    <w:rsid w:val="0095037E"/>
    <w:rsid w:val="009723C7"/>
    <w:rsid w:val="009878C9"/>
    <w:rsid w:val="009A3C37"/>
    <w:rsid w:val="009A771F"/>
    <w:rsid w:val="009B5FD6"/>
    <w:rsid w:val="00A23AEB"/>
    <w:rsid w:val="00A433AF"/>
    <w:rsid w:val="00A44548"/>
    <w:rsid w:val="00A50AF0"/>
    <w:rsid w:val="00A62A18"/>
    <w:rsid w:val="00AC50A2"/>
    <w:rsid w:val="00AC761C"/>
    <w:rsid w:val="00AE3FEF"/>
    <w:rsid w:val="00B1169B"/>
    <w:rsid w:val="00B12ACD"/>
    <w:rsid w:val="00B340D0"/>
    <w:rsid w:val="00B52E99"/>
    <w:rsid w:val="00B700B7"/>
    <w:rsid w:val="00B86655"/>
    <w:rsid w:val="00BA5AC5"/>
    <w:rsid w:val="00BC6007"/>
    <w:rsid w:val="00BC7907"/>
    <w:rsid w:val="00C512B2"/>
    <w:rsid w:val="00C6159B"/>
    <w:rsid w:val="00C915D8"/>
    <w:rsid w:val="00C97D2B"/>
    <w:rsid w:val="00CA418A"/>
    <w:rsid w:val="00CC16D1"/>
    <w:rsid w:val="00D006EB"/>
    <w:rsid w:val="00D12223"/>
    <w:rsid w:val="00D15756"/>
    <w:rsid w:val="00D204A4"/>
    <w:rsid w:val="00D33A82"/>
    <w:rsid w:val="00D53669"/>
    <w:rsid w:val="00D65672"/>
    <w:rsid w:val="00D9314A"/>
    <w:rsid w:val="00DA209A"/>
    <w:rsid w:val="00DD0FAE"/>
    <w:rsid w:val="00DE00C1"/>
    <w:rsid w:val="00DE75FD"/>
    <w:rsid w:val="00DF11E8"/>
    <w:rsid w:val="00DF5FD1"/>
    <w:rsid w:val="00DF795B"/>
    <w:rsid w:val="00E014FF"/>
    <w:rsid w:val="00E02FE4"/>
    <w:rsid w:val="00E04D0E"/>
    <w:rsid w:val="00E12C47"/>
    <w:rsid w:val="00E308BC"/>
    <w:rsid w:val="00E46DC1"/>
    <w:rsid w:val="00E706E8"/>
    <w:rsid w:val="00E906A6"/>
    <w:rsid w:val="00E92C29"/>
    <w:rsid w:val="00EB46D2"/>
    <w:rsid w:val="00EC30BE"/>
    <w:rsid w:val="00EC31D7"/>
    <w:rsid w:val="00ED576D"/>
    <w:rsid w:val="00EE7030"/>
    <w:rsid w:val="00F0505D"/>
    <w:rsid w:val="00F4315B"/>
    <w:rsid w:val="00F67E02"/>
    <w:rsid w:val="00F75907"/>
    <w:rsid w:val="00F775D2"/>
    <w:rsid w:val="00FB51B5"/>
    <w:rsid w:val="00FC1442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7A2B10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sz w:val="22"/>
      <w:szCs w:val="22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4B1DB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B1DB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1D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B1DBA"/>
    <w:rPr>
      <w:i/>
      <w:iCs/>
    </w:rPr>
  </w:style>
  <w:style w:type="character" w:customStyle="1" w:styleId="w-90">
    <w:name w:val="w-90"/>
    <w:rsid w:val="004B1DBA"/>
  </w:style>
  <w:style w:type="character" w:styleId="Hyperlink">
    <w:name w:val="Hyperlink"/>
    <w:uiPriority w:val="99"/>
    <w:unhideWhenUsed/>
    <w:rsid w:val="004B1DBA"/>
    <w:rPr>
      <w:color w:val="0000FF"/>
      <w:u w:val="single"/>
    </w:rPr>
  </w:style>
  <w:style w:type="character" w:styleId="Strong">
    <w:name w:val="Strong"/>
    <w:uiPriority w:val="22"/>
    <w:qFormat/>
    <w:rsid w:val="004B1DBA"/>
    <w:rPr>
      <w:b/>
      <w:bCs/>
    </w:rPr>
  </w:style>
  <w:style w:type="paragraph" w:customStyle="1" w:styleId="xmsonormal">
    <w:name w:val="x_msonormal"/>
    <w:basedOn w:val="Normal"/>
    <w:rsid w:val="007B4B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B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B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7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B7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436B0"/>
  </w:style>
  <w:style w:type="paragraph" w:styleId="Footer">
    <w:name w:val="footer"/>
    <w:basedOn w:val="Normal"/>
    <w:link w:val="Foot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436B0"/>
  </w:style>
  <w:style w:type="paragraph" w:customStyle="1" w:styleId="Default">
    <w:name w:val="Default"/>
    <w:rsid w:val="00506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068EB"/>
  </w:style>
  <w:style w:type="character" w:styleId="FootnoteReference">
    <w:name w:val="footnote reference"/>
    <w:uiPriority w:val="99"/>
    <w:semiHidden/>
    <w:unhideWhenUsed/>
    <w:rsid w:val="005068EB"/>
    <w:rPr>
      <w:vertAlign w:val="superscript"/>
    </w:rPr>
  </w:style>
  <w:style w:type="character" w:styleId="PageNumber">
    <w:name w:val="page number"/>
    <w:uiPriority w:val="99"/>
    <w:rsid w:val="001971EF"/>
  </w:style>
  <w:style w:type="paragraph" w:customStyle="1" w:styleId="Body">
    <w:name w:val="Body"/>
    <w:rsid w:val="001971E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pt-BR" w:eastAsia="pt-BR"/>
    </w:rPr>
  </w:style>
  <w:style w:type="character" w:customStyle="1" w:styleId="None">
    <w:name w:val="None"/>
    <w:rsid w:val="001971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EF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971EF"/>
    <w:rPr>
      <w:rFonts w:ascii="Courier New" w:hAnsi="Courier New" w:cs="Courier New"/>
    </w:rPr>
  </w:style>
  <w:style w:type="paragraph" w:customStyle="1" w:styleId="ydpd61566f9yiv1548390908msonormal">
    <w:name w:val="ydpd61566f9yiv1548390908msonormal"/>
    <w:basedOn w:val="Normal"/>
    <w:rsid w:val="00197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1EF"/>
    <w:pPr>
      <w:spacing w:after="200" w:line="276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971EF"/>
  </w:style>
  <w:style w:type="character" w:styleId="EndnoteReference">
    <w:name w:val="endnote reference"/>
    <w:uiPriority w:val="99"/>
    <w:semiHidden/>
    <w:unhideWhenUsed/>
    <w:rsid w:val="001971EF"/>
    <w:rPr>
      <w:vertAlign w:val="superscript"/>
    </w:rPr>
  </w:style>
  <w:style w:type="paragraph" w:customStyle="1" w:styleId="ydpd61566f9yiv1548390908msolistparagraph">
    <w:name w:val="ydpd61566f9yiv1548390908msolistparagraph"/>
    <w:basedOn w:val="Normal"/>
    <w:rsid w:val="00197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971EF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76D"/>
    <w:pPr>
      <w:spacing w:after="0" w:line="240" w:lineRule="auto"/>
    </w:pPr>
    <w:rPr>
      <w:rFonts w:eastAsia="Calibri" w:cs="Times New Roman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ED576D"/>
    <w:rPr>
      <w:rFonts w:ascii="Calibri" w:eastAsia="Calibri" w:hAnsi="Calibri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sz w:val="22"/>
      <w:szCs w:val="22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4B1DB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B1DB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1D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B1DBA"/>
    <w:rPr>
      <w:i/>
      <w:iCs/>
    </w:rPr>
  </w:style>
  <w:style w:type="character" w:customStyle="1" w:styleId="w-90">
    <w:name w:val="w-90"/>
    <w:rsid w:val="004B1DBA"/>
  </w:style>
  <w:style w:type="character" w:styleId="Hyperlink">
    <w:name w:val="Hyperlink"/>
    <w:uiPriority w:val="99"/>
    <w:unhideWhenUsed/>
    <w:rsid w:val="004B1DBA"/>
    <w:rPr>
      <w:color w:val="0000FF"/>
      <w:u w:val="single"/>
    </w:rPr>
  </w:style>
  <w:style w:type="character" w:styleId="Strong">
    <w:name w:val="Strong"/>
    <w:uiPriority w:val="22"/>
    <w:qFormat/>
    <w:rsid w:val="004B1DBA"/>
    <w:rPr>
      <w:b/>
      <w:bCs/>
    </w:rPr>
  </w:style>
  <w:style w:type="paragraph" w:customStyle="1" w:styleId="xmsonormal">
    <w:name w:val="x_msonormal"/>
    <w:basedOn w:val="Normal"/>
    <w:rsid w:val="007B4B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B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B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B7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B7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436B0"/>
  </w:style>
  <w:style w:type="paragraph" w:styleId="Footer">
    <w:name w:val="footer"/>
    <w:basedOn w:val="Normal"/>
    <w:link w:val="Foot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436B0"/>
  </w:style>
  <w:style w:type="paragraph" w:customStyle="1" w:styleId="Default">
    <w:name w:val="Default"/>
    <w:rsid w:val="00506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068EB"/>
  </w:style>
  <w:style w:type="character" w:styleId="FootnoteReference">
    <w:name w:val="footnote reference"/>
    <w:uiPriority w:val="99"/>
    <w:semiHidden/>
    <w:unhideWhenUsed/>
    <w:rsid w:val="005068EB"/>
    <w:rPr>
      <w:vertAlign w:val="superscript"/>
    </w:rPr>
  </w:style>
  <w:style w:type="character" w:styleId="PageNumber">
    <w:name w:val="page number"/>
    <w:uiPriority w:val="99"/>
    <w:rsid w:val="001971EF"/>
  </w:style>
  <w:style w:type="paragraph" w:customStyle="1" w:styleId="Body">
    <w:name w:val="Body"/>
    <w:rsid w:val="001971E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pt-BR" w:eastAsia="pt-BR"/>
    </w:rPr>
  </w:style>
  <w:style w:type="character" w:customStyle="1" w:styleId="None">
    <w:name w:val="None"/>
    <w:rsid w:val="001971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EF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971EF"/>
    <w:rPr>
      <w:rFonts w:ascii="Courier New" w:hAnsi="Courier New" w:cs="Courier New"/>
    </w:rPr>
  </w:style>
  <w:style w:type="paragraph" w:customStyle="1" w:styleId="ydpd61566f9yiv1548390908msonormal">
    <w:name w:val="ydpd61566f9yiv1548390908msonormal"/>
    <w:basedOn w:val="Normal"/>
    <w:rsid w:val="00197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1EF"/>
    <w:pPr>
      <w:spacing w:after="200" w:line="276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1971EF"/>
  </w:style>
  <w:style w:type="character" w:styleId="EndnoteReference">
    <w:name w:val="endnote reference"/>
    <w:uiPriority w:val="99"/>
    <w:semiHidden/>
    <w:unhideWhenUsed/>
    <w:rsid w:val="001971EF"/>
    <w:rPr>
      <w:vertAlign w:val="superscript"/>
    </w:rPr>
  </w:style>
  <w:style w:type="paragraph" w:customStyle="1" w:styleId="ydpd61566f9yiv1548390908msolistparagraph">
    <w:name w:val="ydpd61566f9yiv1548390908msolistparagraph"/>
    <w:basedOn w:val="Normal"/>
    <w:rsid w:val="00197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971EF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76D"/>
    <w:pPr>
      <w:spacing w:after="0" w:line="240" w:lineRule="auto"/>
    </w:pPr>
    <w:rPr>
      <w:rFonts w:eastAsia="Calibri" w:cs="Times New Roman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ED576D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5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60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618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16256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49619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1625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649601">
              <w:marLeft w:val="1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496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96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4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5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95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4960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il.oas.org/owa/redir.aspx?C=b7765972c758496f9f553619e0ffeaa0&amp;URL=http%3a%2f%2fwww.oecd.org%2fcoronavirus%2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ail.oas.org/owa/redir.aspx?C=a59200e6cb4346d294eccd33f5265bc0&amp;URL=http%3a%2f%2fwww.cepal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il.oas.org/owa/redir.aspx?C=cf0fdfd9a04a44c5b6e149bfdf9791fb&amp;URL=http%3a%2f%2fscm.oas.org%2fpdfs%2f2020%2fSUMMIT%2fGTCCCOVID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latinamerica.undp.org/content/rblac/en/home/library/crisis_prevention_and_recovery/evidence--experience--and-pertinence-in-search-for-effective-pol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il.oas.org/owa/redir.aspx?C=b7765972c758496f9f553619e0ffeaa0&amp;URL=http%3a%2f%2fwww.oecd.org%2fcoronavirus%2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446A-D742-4265-A74E-CEAE65D3EAA6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89f4cd83-a2d3-4405-9b45-6aff5241ff81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8E777B-3E14-4F27-B702-C1FDDD554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B5E5C-5FE8-4693-B81E-C0DBAB88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506BA-EB64-4CC9-9481-A5FBB684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2949</Words>
  <Characters>16810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19720</CharactersWithSpaces>
  <SharedDoc>false</SharedDoc>
  <HLinks>
    <vt:vector size="24" baseType="variant">
      <vt:variant>
        <vt:i4>1048608</vt:i4>
      </vt:variant>
      <vt:variant>
        <vt:i4>9</vt:i4>
      </vt:variant>
      <vt:variant>
        <vt:i4>0</vt:i4>
      </vt:variant>
      <vt:variant>
        <vt:i4>5</vt:i4>
      </vt:variant>
      <vt:variant>
        <vt:lpwstr>https://www.latinamerica.undp.org/content/rblac/en/home/library/crisis_prevention_and_recovery/evidence--experience--and-pertinence-in-search-for-effective-pol.html</vt:lpwstr>
      </vt:variant>
      <vt:variant>
        <vt:lpwstr/>
      </vt:variant>
      <vt:variant>
        <vt:i4>1572868</vt:i4>
      </vt:variant>
      <vt:variant>
        <vt:i4>6</vt:i4>
      </vt:variant>
      <vt:variant>
        <vt:i4>0</vt:i4>
      </vt:variant>
      <vt:variant>
        <vt:i4>5</vt:i4>
      </vt:variant>
      <vt:variant>
        <vt:lpwstr>https://mail.oas.org/owa/redir.aspx?C=b7765972c758496f9f553619e0ffeaa0&amp;URL=http%3a%2f%2fwww.oecd.org%2fcoronavirus%2f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https://mail.oas.org/owa/redir.aspx?C=b7765972c758496f9f553619e0ffeaa0&amp;URL=http%3a%2f%2fwww.oecd.org%2fcoronavirus%2f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https://mail.oas.org/owa/redir.aspx?C=a59200e6cb4346d294eccd33f5265bc0&amp;URL=http%3a%2f%2fwww.cepal.org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jmolina</cp:lastModifiedBy>
  <cp:revision>2</cp:revision>
  <cp:lastPrinted>2020-04-04T15:54:00Z</cp:lastPrinted>
  <dcterms:created xsi:type="dcterms:W3CDTF">2020-04-13T15:03:00Z</dcterms:created>
  <dcterms:modified xsi:type="dcterms:W3CDTF">2020-04-13T15:03:00Z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bddacc02-fb32-47b5-b438-7555abf30fab</vt:lpwstr>
  </property>
  <property fmtid="{D5CDD505-2E9C-101B-9397-08002B2CF9AE}" pid="3" name="ContentTypeId">
    <vt:lpwstr>0x0101009E8E684DBF2FB84BB951F42A6B0FC861</vt:lpwstr>
  </property>
</Properties>
</file>