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3843E0" w:rsidRDefault="00E07849" w:rsidP="006E3910">
      <w:pPr>
        <w:pStyle w:val="Default"/>
        <w:jc w:val="both"/>
        <w:rPr>
          <w:sz w:val="22"/>
          <w:szCs w:val="22"/>
          <w:lang w:val="es-EC"/>
        </w:rPr>
      </w:pPr>
    </w:p>
    <w:p w:rsidR="00E07849" w:rsidRPr="003843E0" w:rsidRDefault="00E07849" w:rsidP="006E3910">
      <w:pPr>
        <w:pStyle w:val="Default"/>
        <w:jc w:val="both"/>
        <w:rPr>
          <w:sz w:val="22"/>
          <w:szCs w:val="22"/>
          <w:lang w:val="es-EC"/>
        </w:rPr>
      </w:pPr>
    </w:p>
    <w:p w:rsidR="00E07849" w:rsidRPr="003843E0" w:rsidRDefault="00E07849" w:rsidP="006E3910">
      <w:pPr>
        <w:pStyle w:val="Default"/>
        <w:jc w:val="both"/>
        <w:rPr>
          <w:sz w:val="22"/>
          <w:szCs w:val="22"/>
          <w:lang w:val="es-EC"/>
        </w:rPr>
      </w:pPr>
      <w:r w:rsidRPr="003843E0">
        <w:rPr>
          <w:sz w:val="22"/>
          <w:szCs w:val="22"/>
          <w:lang w:val="es-EC"/>
        </w:rPr>
        <w:t>GRUPO DE REVISIÓN DE LA IMPLEMENTACIÓN</w:t>
      </w:r>
      <w:r w:rsidRPr="003843E0">
        <w:rPr>
          <w:sz w:val="22"/>
          <w:szCs w:val="22"/>
          <w:lang w:val="es-EC"/>
        </w:rPr>
        <w:tab/>
      </w:r>
      <w:r w:rsidRPr="003843E0">
        <w:rPr>
          <w:sz w:val="22"/>
          <w:szCs w:val="22"/>
          <w:lang w:val="es-EC"/>
        </w:rPr>
        <w:tab/>
      </w:r>
      <w:r w:rsidRPr="003843E0">
        <w:rPr>
          <w:sz w:val="22"/>
          <w:szCs w:val="22"/>
          <w:lang w:val="es-EC"/>
        </w:rPr>
        <w:tab/>
      </w:r>
      <w:r w:rsidRPr="003843E0">
        <w:rPr>
          <w:sz w:val="22"/>
          <w:szCs w:val="22"/>
          <w:lang w:val="es-EC"/>
        </w:rPr>
        <w:tab/>
        <w:t>OEA/Ser.E</w:t>
      </w:r>
    </w:p>
    <w:p w:rsidR="00E07849" w:rsidRPr="003843E0" w:rsidRDefault="00E07849" w:rsidP="006E3910">
      <w:pPr>
        <w:pStyle w:val="Default"/>
        <w:ind w:right="-1260"/>
        <w:jc w:val="both"/>
        <w:rPr>
          <w:sz w:val="22"/>
          <w:szCs w:val="22"/>
          <w:lang w:val="es-EC"/>
        </w:rPr>
      </w:pPr>
      <w:r w:rsidRPr="003843E0">
        <w:rPr>
          <w:sz w:val="22"/>
          <w:szCs w:val="22"/>
          <w:lang w:val="es-EC"/>
        </w:rPr>
        <w:t>DE CUMBRES (GRIC)</w:t>
      </w:r>
      <w:r w:rsidRPr="003843E0">
        <w:rPr>
          <w:sz w:val="22"/>
          <w:szCs w:val="22"/>
          <w:lang w:val="es-EC"/>
        </w:rPr>
        <w:tab/>
      </w:r>
      <w:r w:rsidRPr="003843E0">
        <w:rPr>
          <w:sz w:val="22"/>
          <w:szCs w:val="22"/>
          <w:lang w:val="es-EC"/>
        </w:rPr>
        <w:tab/>
      </w:r>
      <w:r w:rsidRPr="003843E0">
        <w:rPr>
          <w:sz w:val="22"/>
          <w:szCs w:val="22"/>
          <w:lang w:val="es-EC"/>
        </w:rPr>
        <w:tab/>
      </w:r>
      <w:r w:rsidRPr="003843E0">
        <w:rPr>
          <w:sz w:val="22"/>
          <w:szCs w:val="22"/>
          <w:lang w:val="es-EC"/>
        </w:rPr>
        <w:tab/>
      </w:r>
      <w:r w:rsidRPr="003843E0">
        <w:rPr>
          <w:sz w:val="22"/>
          <w:szCs w:val="22"/>
          <w:lang w:val="es-EC"/>
        </w:rPr>
        <w:tab/>
      </w:r>
      <w:r w:rsidRPr="003843E0">
        <w:rPr>
          <w:sz w:val="22"/>
          <w:szCs w:val="22"/>
          <w:lang w:val="es-EC"/>
        </w:rPr>
        <w:tab/>
      </w:r>
      <w:r w:rsidRPr="003843E0">
        <w:rPr>
          <w:sz w:val="22"/>
          <w:szCs w:val="22"/>
          <w:lang w:val="es-EC"/>
        </w:rPr>
        <w:tab/>
      </w:r>
      <w:r w:rsidRPr="003843E0">
        <w:rPr>
          <w:sz w:val="22"/>
          <w:szCs w:val="22"/>
          <w:lang w:val="es-EC"/>
        </w:rPr>
        <w:tab/>
        <w:t>GRIC/O.5/</w:t>
      </w:r>
      <w:r w:rsidR="00E43516" w:rsidRPr="003843E0">
        <w:rPr>
          <w:sz w:val="22"/>
          <w:szCs w:val="22"/>
          <w:lang w:val="es-EC"/>
        </w:rPr>
        <w:t>INF</w:t>
      </w:r>
      <w:r w:rsidRPr="003843E0">
        <w:rPr>
          <w:sz w:val="22"/>
          <w:szCs w:val="22"/>
          <w:lang w:val="es-EC"/>
        </w:rPr>
        <w:t>.</w:t>
      </w:r>
      <w:r w:rsidR="003843E0" w:rsidRPr="003843E0">
        <w:rPr>
          <w:sz w:val="22"/>
          <w:szCs w:val="22"/>
          <w:lang w:val="es-EC"/>
        </w:rPr>
        <w:t>9</w:t>
      </w:r>
      <w:r w:rsidRPr="003843E0">
        <w:rPr>
          <w:sz w:val="22"/>
          <w:szCs w:val="22"/>
          <w:lang w:val="es-EC"/>
        </w:rPr>
        <w:t>/18</w:t>
      </w:r>
    </w:p>
    <w:p w:rsidR="00E07849" w:rsidRPr="003843E0" w:rsidRDefault="00E07849" w:rsidP="006E3910">
      <w:pPr>
        <w:pStyle w:val="Default"/>
        <w:ind w:right="-360"/>
        <w:jc w:val="both"/>
        <w:rPr>
          <w:sz w:val="22"/>
          <w:szCs w:val="22"/>
          <w:lang w:val="es-EC"/>
        </w:rPr>
      </w:pPr>
      <w:r w:rsidRPr="003843E0">
        <w:rPr>
          <w:sz w:val="22"/>
          <w:szCs w:val="22"/>
          <w:lang w:val="es-EC"/>
        </w:rPr>
        <w:t xml:space="preserve">Quinta </w:t>
      </w:r>
      <w:r w:rsidR="009870B9" w:rsidRPr="003843E0">
        <w:rPr>
          <w:sz w:val="22"/>
          <w:szCs w:val="22"/>
          <w:lang w:val="es-EC"/>
        </w:rPr>
        <w:t>Reunión Ordinaria de 2018</w:t>
      </w:r>
      <w:r w:rsidR="009870B9" w:rsidRPr="003843E0">
        <w:rPr>
          <w:sz w:val="22"/>
          <w:szCs w:val="22"/>
          <w:lang w:val="es-EC"/>
        </w:rPr>
        <w:tab/>
      </w:r>
      <w:r w:rsidR="009870B9" w:rsidRPr="003843E0">
        <w:rPr>
          <w:sz w:val="22"/>
          <w:szCs w:val="22"/>
          <w:lang w:val="es-EC"/>
        </w:rPr>
        <w:tab/>
      </w:r>
      <w:r w:rsidR="009870B9" w:rsidRPr="003843E0">
        <w:rPr>
          <w:sz w:val="22"/>
          <w:szCs w:val="22"/>
          <w:lang w:val="es-EC"/>
        </w:rPr>
        <w:tab/>
      </w:r>
      <w:r w:rsidR="009870B9" w:rsidRPr="003843E0">
        <w:rPr>
          <w:sz w:val="22"/>
          <w:szCs w:val="22"/>
          <w:lang w:val="es-EC"/>
        </w:rPr>
        <w:tab/>
      </w:r>
      <w:r w:rsidR="009870B9" w:rsidRPr="003843E0">
        <w:rPr>
          <w:sz w:val="22"/>
          <w:szCs w:val="22"/>
          <w:lang w:val="es-EC"/>
        </w:rPr>
        <w:tab/>
      </w:r>
      <w:r w:rsidR="009870B9" w:rsidRPr="003843E0">
        <w:rPr>
          <w:sz w:val="22"/>
          <w:szCs w:val="22"/>
          <w:lang w:val="es-EC"/>
        </w:rPr>
        <w:tab/>
      </w:r>
      <w:r w:rsidR="00AB12B2" w:rsidRPr="003843E0">
        <w:rPr>
          <w:sz w:val="22"/>
          <w:szCs w:val="22"/>
          <w:lang w:val="es-EC"/>
        </w:rPr>
        <w:t>1</w:t>
      </w:r>
      <w:r w:rsidR="003843E0" w:rsidRPr="003843E0">
        <w:rPr>
          <w:sz w:val="22"/>
          <w:szCs w:val="22"/>
          <w:lang w:val="es-EC"/>
        </w:rPr>
        <w:t>2</w:t>
      </w:r>
      <w:r w:rsidRPr="003843E0">
        <w:rPr>
          <w:sz w:val="22"/>
          <w:szCs w:val="22"/>
          <w:lang w:val="es-EC"/>
        </w:rPr>
        <w:t xml:space="preserve"> septiembre 2018</w:t>
      </w:r>
    </w:p>
    <w:p w:rsidR="00E07849" w:rsidRPr="003843E0" w:rsidRDefault="00E07849" w:rsidP="006E3910">
      <w:pPr>
        <w:pStyle w:val="Default"/>
        <w:ind w:right="-569"/>
        <w:jc w:val="both"/>
        <w:rPr>
          <w:color w:val="auto"/>
          <w:sz w:val="22"/>
          <w:szCs w:val="22"/>
          <w:lang w:val="es-EC"/>
        </w:rPr>
      </w:pPr>
      <w:r w:rsidRPr="003843E0">
        <w:rPr>
          <w:sz w:val="22"/>
          <w:szCs w:val="22"/>
          <w:lang w:val="es-EC"/>
        </w:rPr>
        <w:t>4 de septiembre de 2018</w:t>
      </w:r>
      <w:r w:rsidRPr="003843E0">
        <w:rPr>
          <w:color w:val="auto"/>
          <w:sz w:val="22"/>
          <w:szCs w:val="22"/>
          <w:lang w:val="es-EC"/>
        </w:rPr>
        <w:tab/>
      </w:r>
      <w:r w:rsidRPr="003843E0">
        <w:rPr>
          <w:color w:val="auto"/>
          <w:sz w:val="22"/>
          <w:szCs w:val="22"/>
          <w:lang w:val="es-EC"/>
        </w:rPr>
        <w:tab/>
      </w:r>
      <w:r w:rsidRPr="003843E0">
        <w:rPr>
          <w:color w:val="auto"/>
          <w:sz w:val="22"/>
          <w:szCs w:val="22"/>
          <w:lang w:val="es-EC"/>
        </w:rPr>
        <w:tab/>
      </w:r>
      <w:r w:rsidRPr="003843E0">
        <w:rPr>
          <w:color w:val="auto"/>
          <w:sz w:val="22"/>
          <w:szCs w:val="22"/>
          <w:lang w:val="es-EC"/>
        </w:rPr>
        <w:tab/>
      </w:r>
      <w:r w:rsidRPr="003843E0">
        <w:rPr>
          <w:color w:val="auto"/>
          <w:sz w:val="22"/>
          <w:szCs w:val="22"/>
          <w:lang w:val="es-EC"/>
        </w:rPr>
        <w:tab/>
      </w:r>
      <w:r w:rsidRPr="003843E0">
        <w:rPr>
          <w:color w:val="auto"/>
          <w:sz w:val="22"/>
          <w:szCs w:val="22"/>
          <w:lang w:val="es-EC"/>
        </w:rPr>
        <w:tab/>
      </w:r>
      <w:r w:rsidRPr="003843E0">
        <w:rPr>
          <w:color w:val="auto"/>
          <w:sz w:val="22"/>
          <w:szCs w:val="22"/>
          <w:lang w:val="es-EC"/>
        </w:rPr>
        <w:tab/>
      </w:r>
      <w:r w:rsidRPr="003843E0">
        <w:rPr>
          <w:color w:val="auto"/>
          <w:sz w:val="22"/>
          <w:szCs w:val="22"/>
          <w:lang w:val="es-EC"/>
        </w:rPr>
        <w:tab/>
        <w:t xml:space="preserve">Original: español </w:t>
      </w:r>
    </w:p>
    <w:p w:rsidR="00E07849" w:rsidRPr="003843E0" w:rsidRDefault="00E07849" w:rsidP="006E3910">
      <w:pPr>
        <w:pStyle w:val="Default"/>
        <w:ind w:right="-569"/>
        <w:jc w:val="both"/>
        <w:rPr>
          <w:color w:val="auto"/>
          <w:sz w:val="22"/>
          <w:szCs w:val="22"/>
          <w:lang w:val="es-EC"/>
        </w:rPr>
      </w:pPr>
      <w:r w:rsidRPr="003843E0">
        <w:rPr>
          <w:color w:val="auto"/>
          <w:sz w:val="22"/>
          <w:szCs w:val="22"/>
          <w:lang w:val="es-EC"/>
        </w:rPr>
        <w:t>Washington D.C.</w:t>
      </w:r>
      <w:r w:rsidRPr="003843E0">
        <w:rPr>
          <w:sz w:val="22"/>
          <w:szCs w:val="22"/>
          <w:lang w:val="es-EC"/>
        </w:rPr>
        <w:t xml:space="preserve"> </w:t>
      </w:r>
      <w:r w:rsidRPr="003843E0">
        <w:rPr>
          <w:color w:val="auto"/>
          <w:sz w:val="22"/>
          <w:szCs w:val="22"/>
          <w:lang w:val="es-EC"/>
        </w:rPr>
        <w:tab/>
      </w:r>
    </w:p>
    <w:p w:rsidR="00E07849" w:rsidRPr="003843E0" w:rsidRDefault="00E07849" w:rsidP="006E3910">
      <w:pPr>
        <w:pStyle w:val="Default"/>
        <w:ind w:right="-569"/>
        <w:jc w:val="both"/>
        <w:rPr>
          <w:color w:val="auto"/>
          <w:sz w:val="22"/>
          <w:szCs w:val="22"/>
          <w:lang w:val="es-EC"/>
        </w:rPr>
      </w:pPr>
    </w:p>
    <w:p w:rsidR="00E07849" w:rsidRPr="003843E0" w:rsidRDefault="00E07849" w:rsidP="006E3910">
      <w:pPr>
        <w:pStyle w:val="Default"/>
        <w:ind w:right="-569"/>
        <w:jc w:val="both"/>
        <w:rPr>
          <w:caps/>
          <w:color w:val="auto"/>
          <w:sz w:val="22"/>
          <w:szCs w:val="22"/>
          <w:lang w:val="es-EC"/>
        </w:rPr>
      </w:pPr>
    </w:p>
    <w:p w:rsidR="00E07849" w:rsidRPr="003843E0" w:rsidRDefault="00E07849" w:rsidP="006E3910">
      <w:pPr>
        <w:pStyle w:val="Default"/>
        <w:jc w:val="center"/>
        <w:rPr>
          <w:caps/>
          <w:sz w:val="22"/>
          <w:szCs w:val="22"/>
          <w:lang w:val="es-EC"/>
        </w:rPr>
      </w:pPr>
      <w:r w:rsidRPr="003843E0">
        <w:rPr>
          <w:caps/>
          <w:sz w:val="22"/>
          <w:szCs w:val="22"/>
          <w:lang w:val="es-EC"/>
        </w:rPr>
        <w:t xml:space="preserve">Presentación </w:t>
      </w:r>
      <w:r w:rsidR="00845E80" w:rsidRPr="003843E0">
        <w:rPr>
          <w:caps/>
          <w:sz w:val="22"/>
          <w:szCs w:val="22"/>
          <w:lang w:val="es-EC"/>
        </w:rPr>
        <w:t>de</w:t>
      </w:r>
      <w:r w:rsidR="006E3910" w:rsidRPr="003843E0">
        <w:rPr>
          <w:caps/>
          <w:sz w:val="22"/>
          <w:szCs w:val="22"/>
          <w:lang w:val="es-EC"/>
        </w:rPr>
        <w:t>l</w:t>
      </w:r>
      <w:r w:rsidR="00845E80" w:rsidRPr="003843E0">
        <w:rPr>
          <w:caps/>
          <w:sz w:val="22"/>
          <w:szCs w:val="22"/>
          <w:lang w:val="es-EC"/>
        </w:rPr>
        <w:t xml:space="preserve"> </w:t>
      </w:r>
      <w:r w:rsidR="006E3910" w:rsidRPr="003843E0">
        <w:rPr>
          <w:caps/>
          <w:sz w:val="22"/>
          <w:szCs w:val="22"/>
          <w:lang w:val="es-EC"/>
        </w:rPr>
        <w:t>Banco de Desarrollo de América Latina</w:t>
      </w:r>
    </w:p>
    <w:p w:rsidR="00845E80" w:rsidRPr="003843E0" w:rsidRDefault="00845E80" w:rsidP="006E3910">
      <w:pPr>
        <w:pStyle w:val="Default"/>
        <w:jc w:val="center"/>
        <w:rPr>
          <w:b/>
          <w:caps/>
          <w:sz w:val="22"/>
          <w:szCs w:val="22"/>
          <w:lang w:val="es-EC"/>
        </w:rPr>
      </w:pPr>
    </w:p>
    <w:p w:rsidR="00C40EB6" w:rsidRPr="003843E0" w:rsidRDefault="00C40EB6" w:rsidP="00C40EB6">
      <w:pPr>
        <w:pStyle w:val="Default"/>
        <w:tabs>
          <w:tab w:val="left" w:pos="2880"/>
          <w:tab w:val="left" w:pos="3870"/>
        </w:tabs>
        <w:jc w:val="center"/>
        <w:rPr>
          <w:caps/>
          <w:sz w:val="22"/>
          <w:szCs w:val="22"/>
          <w:lang w:val="es-US"/>
        </w:rPr>
      </w:pPr>
      <w:r w:rsidRPr="003843E0">
        <w:rPr>
          <w:caps/>
          <w:sz w:val="22"/>
          <w:szCs w:val="22"/>
          <w:lang w:val="es-US"/>
        </w:rPr>
        <w:t xml:space="preserve">Oferta institucional para la implementación </w:t>
      </w:r>
      <w:r w:rsidRPr="003843E0">
        <w:rPr>
          <w:caps/>
          <w:sz w:val="22"/>
          <w:szCs w:val="22"/>
          <w:lang w:val="es-US"/>
        </w:rPr>
        <w:br/>
        <w:t>del Compromiso de Lima</w:t>
      </w:r>
    </w:p>
    <w:p w:rsidR="00C40EB6" w:rsidRPr="003843E0" w:rsidRDefault="00C40EB6" w:rsidP="006E3910">
      <w:pPr>
        <w:pStyle w:val="Default"/>
        <w:jc w:val="center"/>
        <w:rPr>
          <w:b/>
          <w:caps/>
          <w:sz w:val="22"/>
          <w:szCs w:val="22"/>
          <w:lang w:val="es-US"/>
        </w:rPr>
      </w:pPr>
    </w:p>
    <w:p w:rsidR="00845E80" w:rsidRPr="003843E0" w:rsidRDefault="00845E80" w:rsidP="006E3910">
      <w:pPr>
        <w:pStyle w:val="Default"/>
        <w:jc w:val="center"/>
        <w:rPr>
          <w:sz w:val="22"/>
          <w:szCs w:val="22"/>
          <w:lang w:val="es-EC"/>
        </w:rPr>
      </w:pPr>
      <w:r w:rsidRPr="003843E0">
        <w:rPr>
          <w:sz w:val="22"/>
          <w:szCs w:val="22"/>
          <w:lang w:val="es-EC"/>
        </w:rPr>
        <w:t xml:space="preserve">(Por </w:t>
      </w:r>
      <w:r w:rsidR="006E3910" w:rsidRPr="003843E0">
        <w:rPr>
          <w:sz w:val="22"/>
          <w:szCs w:val="22"/>
          <w:lang w:val="es-EC"/>
        </w:rPr>
        <w:t>Víctor Rico, Secretario General</w:t>
      </w:r>
      <w:r w:rsidRPr="003843E0">
        <w:rPr>
          <w:sz w:val="22"/>
          <w:szCs w:val="22"/>
          <w:lang w:val="es-EC"/>
        </w:rPr>
        <w:t>)</w:t>
      </w:r>
    </w:p>
    <w:p w:rsidR="00C52F94" w:rsidRPr="003843E0" w:rsidRDefault="00C52F94" w:rsidP="006E3910">
      <w:pPr>
        <w:pStyle w:val="ListParagraph"/>
        <w:spacing w:after="0" w:line="240" w:lineRule="auto"/>
        <w:ind w:left="0"/>
        <w:jc w:val="center"/>
        <w:rPr>
          <w:rFonts w:ascii="Times New Roman" w:eastAsia="Times New Roman" w:hAnsi="Times New Roman"/>
          <w:i/>
          <w:lang w:eastAsia="fr-FR"/>
        </w:rPr>
      </w:pPr>
    </w:p>
    <w:p w:rsidR="006E3910" w:rsidRPr="003843E0" w:rsidRDefault="006E3910" w:rsidP="006E3910">
      <w:pPr>
        <w:pStyle w:val="ListParagraph"/>
        <w:spacing w:after="0" w:line="240" w:lineRule="auto"/>
        <w:ind w:left="0"/>
        <w:jc w:val="center"/>
        <w:rPr>
          <w:rFonts w:ascii="Times New Roman" w:eastAsia="Times New Roman" w:hAnsi="Times New Roman"/>
          <w:i/>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Para CAF - Banco de Desarrollo de América Latina, en su calidad de miembro del GTCC es un honor contribuir al trabajo que conduce el Perú en su calidad de presidente del proceso de Cumbres, con el apoyo de la Secretaría de Cumbres de la OEA en el seguimiento y la implementación del Compromiso de Lima.</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El contenido del Compromiso de Lima “Gobernabilidad democrática frente a la corrupción”, es de vital importancia para una región, que ha decidido de manera unánime enfrentar este problema que traspasa las fronteras de los Estados y que requiere acciones colectivas y concertadas.</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 xml:space="preserve">En lo que respecta a CAF, como miembro del GTCC, acompañamos tanto al Perú como a la Secretaría de Cumbres en el proceso preparatorio de la última Cumbre de las Américas. En ese sentido, el taller que organizamos conjuntamente sobre “prevención de la corrupción en proyectos de infraestructura” en febrero pasado nutrió las reflexiones previas que condujeron los países a adoptar las medidas que son parte del Compromiso de Lima. </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En la continuidad de ese esfuerzo, tenemos el agrado de anunciar hoy que hemos destinado recursos de cooperación técnica no reembolsable para apoyar los esfuerzos de la Secretaría de Cumbres de la OEA en el “establecimiento de las bases para el fortalecimiento del GTCC”. Piedra angular de esa actividad será la firma del Memorando de Entendimiento de esta tarde. Esta actividad se inscribe en lo que preconiza el mandato 56 del Compromiso de Lima.</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La inversión pública y privada en proyectos de infraestructura es vital para el desarrollo económico y productivo de los países de América Latina y el Caribe. Sin embargo, la corrupción afecta directamente los resultados y el impacto de esos proyectos, llegando incluso a paralizar inversiones.</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 xml:space="preserve">Comenzamos a observar en el continente señales de reactivación económica. En ese contexto, hoy más que nunca, la región necesita seguir atrayendo inversión, y para hacerlo se debe impulsar una agenda que permita combatir y prevenir, junto a todos los actores, el fenómeno de la corrupción. </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6E3910"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Para apoyar el trabajo que nuestros países miembros conducen en ese sentido y en armonía con lo que dispone el Compromiso de Lima, me complace mencionar las principales iniciativas que CAF se encuentra promoviendo:</w:t>
      </w:r>
    </w:p>
    <w:p w:rsidR="006E3910" w:rsidRPr="003843E0" w:rsidRDefault="006E3910" w:rsidP="006E3910">
      <w:pPr>
        <w:jc w:val="both"/>
        <w:rPr>
          <w:sz w:val="22"/>
          <w:szCs w:val="22"/>
          <w:lang w:val="es-US" w:eastAsia="fr-FR"/>
        </w:rPr>
      </w:pPr>
    </w:p>
    <w:p w:rsidR="00C52F94" w:rsidRPr="003843E0" w:rsidRDefault="00C52F94" w:rsidP="006E3910">
      <w:pPr>
        <w:pStyle w:val="ListParagraph"/>
        <w:numPr>
          <w:ilvl w:val="0"/>
          <w:numId w:val="8"/>
        </w:numPr>
        <w:spacing w:after="0" w:line="240" w:lineRule="auto"/>
        <w:jc w:val="both"/>
        <w:rPr>
          <w:rFonts w:ascii="Times New Roman" w:hAnsi="Times New Roman"/>
          <w:lang w:eastAsia="fr-FR"/>
        </w:rPr>
      </w:pPr>
      <w:r w:rsidRPr="003843E0">
        <w:rPr>
          <w:rFonts w:ascii="Times New Roman" w:hAnsi="Times New Roman"/>
          <w:lang w:eastAsia="fr-FR"/>
        </w:rPr>
        <w:t xml:space="preserve">En primer lugar, como primera fuente de financiamiento multilateral de infraestructura en América Latina, estamos conscientes que podemos desempeñar un rol importante en la prevención de la corrupción en el sector, y por ello nos encontramos en proceso de fortalecer nuestros mecanismos de evaluación de riesgos para ayudar a los países en la formulación de proyectos de calidad y el establecimiento de alianzas público privadas virtuosas.  Este proceso interno está claramente alineado con lo que estipulan los mandatos 30, 31 y 52 del Compromiso de Lima. Prueba de ello, CAF acaba de crear una Vicepresidencia de Riesgos que jugará un papel importante en este sentido y está además fortaleciendo de manera considerable su Dirección de Desarrollo Institucional, que jugará un papel fundamental para el cumplimiento de los mandatos 11 y 50, en apoyo de la modernización de la gestión pública en sus países accionistas.  </w:t>
      </w:r>
    </w:p>
    <w:p w:rsidR="006E3910" w:rsidRPr="003843E0" w:rsidRDefault="006E3910" w:rsidP="006E3910">
      <w:pPr>
        <w:jc w:val="both"/>
        <w:rPr>
          <w:sz w:val="22"/>
          <w:szCs w:val="22"/>
          <w:lang w:val="es-VE" w:eastAsia="fr-FR"/>
        </w:rPr>
      </w:pPr>
    </w:p>
    <w:p w:rsidR="00C52F94" w:rsidRPr="003843E0" w:rsidRDefault="00C52F94" w:rsidP="006E3910">
      <w:pPr>
        <w:pStyle w:val="ListParagraph"/>
        <w:numPr>
          <w:ilvl w:val="0"/>
          <w:numId w:val="8"/>
        </w:numPr>
        <w:spacing w:after="0" w:line="240" w:lineRule="auto"/>
        <w:jc w:val="both"/>
        <w:rPr>
          <w:rFonts w:ascii="Times New Roman" w:hAnsi="Times New Roman"/>
          <w:lang w:eastAsia="fr-FR"/>
        </w:rPr>
      </w:pPr>
      <w:r w:rsidRPr="003843E0">
        <w:rPr>
          <w:rFonts w:ascii="Times New Roman" w:hAnsi="Times New Roman"/>
          <w:lang w:eastAsia="fr-FR"/>
        </w:rPr>
        <w:t>En segundo lugar, estamos llevando adelante una agenda de conocimiento en temas de capacidades estatales y de eficiencia del Estado que se inició con la versión 2015 del Reporte de Economía y Desarrollo (RED). Desde el punto de vista de un Banco de Desarrollo como el nuestro, creemos que la corrupción es una manifestación de bajas capacidades estatales, que limita el desarrollo económico y puede poner en riesgo la gobernabilidad democrática. Por ello, en el marco de esta agenda, la edición 2019 de nuestro Reporte de Economía y Desarrollo tratará el tema de la corrupción, con un énfasis en el diseño de prácticas y políticas preventivas. Esta será una importante herramienta para la formulación de políticas públicas que CAF pondrá a disposición de los gobiernos, instituciones internacionales y organizaciones de la sociedad civil del Hemisferio.</w:t>
      </w:r>
    </w:p>
    <w:p w:rsidR="006E3910" w:rsidRPr="003843E0" w:rsidRDefault="006E3910" w:rsidP="006E3910">
      <w:pPr>
        <w:jc w:val="both"/>
        <w:rPr>
          <w:sz w:val="22"/>
          <w:szCs w:val="22"/>
          <w:lang w:val="es-AR" w:eastAsia="fr-FR"/>
        </w:rPr>
      </w:pPr>
    </w:p>
    <w:p w:rsidR="00C52F94" w:rsidRPr="003843E0" w:rsidRDefault="00C52F94" w:rsidP="006E3910">
      <w:pPr>
        <w:pStyle w:val="ListParagraph"/>
        <w:numPr>
          <w:ilvl w:val="0"/>
          <w:numId w:val="8"/>
        </w:numPr>
        <w:spacing w:after="0" w:line="240" w:lineRule="auto"/>
        <w:jc w:val="both"/>
        <w:rPr>
          <w:rFonts w:ascii="Times New Roman" w:hAnsi="Times New Roman"/>
          <w:lang w:val="es-AR" w:eastAsia="fr-FR"/>
        </w:rPr>
      </w:pPr>
      <w:r w:rsidRPr="003843E0">
        <w:rPr>
          <w:rFonts w:ascii="Times New Roman" w:hAnsi="Times New Roman"/>
          <w:lang w:val="es-AR" w:eastAsia="fr-FR"/>
        </w:rPr>
        <w:t xml:space="preserve">El Reporte de Economía y Desarrollo 2019 se centrará en la pregunta de cómo maximizar la efectividad de la inversión en políticas anticorrupción. Un primer capítulo está dedicado a los incentivos extrínsecos que reciben los funcionarios y tiene el objetivo de recomendar políticas que recompensen la integridad y disminuyan las oportunidades de extracción de rentas. El siguiente capítulo discutirá las instancias de monitoreo de la acción pública, con la meta de señalar qué arreglos permiten mejorar su efectividad. Más adelante, se pondrá el foco en los mecanismos de selección de funcionarios y políticos (elecciones). El análisis se complementará con una última sección que, con una perspectiva más integral del Estado, pone énfasis en cómo mitigar el riesgo de captura sistémica del Estado. Nuestro RED 2019 será un insumo clave para avanzar en los mandatos 31, 51 y 52 del Compromiso de Lima. </w:t>
      </w:r>
    </w:p>
    <w:p w:rsidR="006E3910" w:rsidRPr="003843E0" w:rsidRDefault="006E3910" w:rsidP="006E3910">
      <w:pPr>
        <w:jc w:val="both"/>
        <w:rPr>
          <w:sz w:val="22"/>
          <w:szCs w:val="22"/>
          <w:lang w:val="es-AR" w:eastAsia="fr-FR"/>
        </w:rPr>
      </w:pPr>
    </w:p>
    <w:p w:rsidR="00C52F94" w:rsidRPr="003843E0" w:rsidRDefault="00C52F94" w:rsidP="006E3910">
      <w:pPr>
        <w:pStyle w:val="ListParagraph"/>
        <w:numPr>
          <w:ilvl w:val="0"/>
          <w:numId w:val="8"/>
        </w:numPr>
        <w:spacing w:after="0" w:line="240" w:lineRule="auto"/>
        <w:jc w:val="both"/>
        <w:rPr>
          <w:rFonts w:ascii="Times New Roman" w:hAnsi="Times New Roman"/>
          <w:lang w:val="es-AR" w:eastAsia="fr-FR"/>
        </w:rPr>
      </w:pPr>
      <w:r w:rsidRPr="003843E0">
        <w:rPr>
          <w:rFonts w:ascii="Times New Roman" w:hAnsi="Times New Roman"/>
          <w:lang w:val="es-AR" w:eastAsia="fr-FR"/>
        </w:rPr>
        <w:t>Cabe destacar que, además de la literatura especializada, un insumo importante para este reporte serán los resultados de la Encuesta CAF 2018 que, realizada en los hogares de 10 ciudades del continente, este año incluirá un módulo dedicado a preguntas sobre experiencias, percepciones y actitudes hacia la corrupción. Esta encuesta será de gran utilidad para los países que busquen tomar medidas para implementar lo estipulado en el párrafo 11 de del Compromiso de Lima.</w:t>
      </w:r>
    </w:p>
    <w:p w:rsidR="00C52F94" w:rsidRPr="003843E0" w:rsidRDefault="00C52F94" w:rsidP="006E3910">
      <w:pPr>
        <w:pStyle w:val="ListParagraph"/>
        <w:numPr>
          <w:ilvl w:val="0"/>
          <w:numId w:val="8"/>
        </w:numPr>
        <w:spacing w:after="0" w:line="240" w:lineRule="auto"/>
        <w:jc w:val="both"/>
        <w:rPr>
          <w:rFonts w:ascii="Times New Roman" w:hAnsi="Times New Roman"/>
          <w:lang w:val="es-AR" w:eastAsia="fr-FR"/>
        </w:rPr>
      </w:pPr>
      <w:r w:rsidRPr="003843E0">
        <w:rPr>
          <w:rFonts w:ascii="Times New Roman" w:hAnsi="Times New Roman"/>
          <w:lang w:val="es-AR" w:eastAsia="fr-FR"/>
        </w:rPr>
        <w:t xml:space="preserve">En tercer lugar, estamos trabajando junto a la ONG chilena Espacio Público en un Programa para mejorar la Gobernanza en la provisión de Infraestructura pública en América Latina, que durará dos años. En la fase inicial de este proyecto, iniciado semanas después de la adopción </w:t>
      </w:r>
      <w:r w:rsidRPr="003843E0">
        <w:rPr>
          <w:rFonts w:ascii="Times New Roman" w:hAnsi="Times New Roman"/>
          <w:lang w:val="es-AR" w:eastAsia="fr-FR"/>
        </w:rPr>
        <w:lastRenderedPageBreak/>
        <w:t>del Compromiso de Lima, nos encontramos sistematizando los aspectos de gobernanza de la infraestructura pública (evaluación de proyectos; procesos de licitación y contratación; diseño, fiscalización y renegociación de contratos) en una muestra de países de la región. Deseamos en ese sentido que los resultados de esta investigación estén disponibles para los miembros del GRIC y del GTCC para darle cumplimiento de manera específica al mandato 30 del Compromiso de Lima.</w:t>
      </w:r>
    </w:p>
    <w:p w:rsidR="006E3910" w:rsidRPr="003843E0" w:rsidRDefault="006E3910" w:rsidP="006E3910">
      <w:pPr>
        <w:jc w:val="both"/>
        <w:rPr>
          <w:sz w:val="22"/>
          <w:szCs w:val="22"/>
          <w:lang w:val="es-AR" w:eastAsia="fr-FR"/>
        </w:rPr>
      </w:pPr>
    </w:p>
    <w:p w:rsidR="00C52F94" w:rsidRPr="003843E0" w:rsidRDefault="00AE7125" w:rsidP="006E3910">
      <w:pPr>
        <w:pStyle w:val="ListParagraph"/>
        <w:numPr>
          <w:ilvl w:val="0"/>
          <w:numId w:val="8"/>
        </w:numPr>
        <w:spacing w:after="0" w:line="240" w:lineRule="auto"/>
        <w:jc w:val="both"/>
        <w:rPr>
          <w:rFonts w:ascii="Times New Roman" w:hAnsi="Times New Roman"/>
          <w:lang w:eastAsia="fr-FR"/>
        </w:rPr>
      </w:pPr>
      <w:bookmarkStart w:id="0" w:name="_GoBack"/>
      <w:bookmarkEnd w:id="0"/>
      <w:r>
        <w:rPr>
          <w:rFonts w:ascii="Times New Roman" w:hAnsi="Times New Roman"/>
          <w:noProof/>
          <w:lang w:val="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77593A" w:rsidRPr="0077593A" w:rsidRDefault="0077593A">
                            <w:pPr>
                              <w:rPr>
                                <w:sz w:val="18"/>
                              </w:rPr>
                            </w:pPr>
                            <w:r>
                              <w:rPr>
                                <w:sz w:val="18"/>
                              </w:rPr>
                              <w:fldChar w:fldCharType="begin"/>
                            </w:r>
                            <w:r>
                              <w:rPr>
                                <w:sz w:val="18"/>
                              </w:rPr>
                              <w:instrText xml:space="preserve"> FILENAME  \* MERGEFORMAT </w:instrText>
                            </w:r>
                            <w:r>
                              <w:rPr>
                                <w:sz w:val="18"/>
                              </w:rPr>
                              <w:fldChar w:fldCharType="separate"/>
                            </w:r>
                            <w:r>
                              <w:rPr>
                                <w:noProof/>
                                <w:sz w:val="18"/>
                              </w:rPr>
                              <w:t>cmbrs01690s01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rsidR="0077593A" w:rsidRPr="0077593A" w:rsidRDefault="0077593A">
                      <w:pPr>
                        <w:rPr>
                          <w:sz w:val="18"/>
                        </w:rPr>
                      </w:pPr>
                      <w:r>
                        <w:rPr>
                          <w:sz w:val="18"/>
                        </w:rPr>
                        <w:fldChar w:fldCharType="begin"/>
                      </w:r>
                      <w:r>
                        <w:rPr>
                          <w:sz w:val="18"/>
                        </w:rPr>
                        <w:instrText xml:space="preserve"> FILENAME  \* MERGEFORMAT </w:instrText>
                      </w:r>
                      <w:r>
                        <w:rPr>
                          <w:sz w:val="18"/>
                        </w:rPr>
                        <w:fldChar w:fldCharType="separate"/>
                      </w:r>
                      <w:r>
                        <w:rPr>
                          <w:noProof/>
                          <w:sz w:val="18"/>
                        </w:rPr>
                        <w:t>cmbrs01690s01</w:t>
                      </w:r>
                      <w:r>
                        <w:rPr>
                          <w:sz w:val="18"/>
                        </w:rPr>
                        <w:fldChar w:fldCharType="end"/>
                      </w:r>
                    </w:p>
                  </w:txbxContent>
                </v:textbox>
                <w10:wrap anchory="page"/>
                <w10:anchorlock/>
              </v:shape>
            </w:pict>
          </mc:Fallback>
        </mc:AlternateContent>
      </w:r>
      <w:r w:rsidR="00C52F94" w:rsidRPr="003843E0">
        <w:rPr>
          <w:rFonts w:ascii="Times New Roman" w:hAnsi="Times New Roman"/>
          <w:lang w:eastAsia="fr-FR"/>
        </w:rPr>
        <w:t>En cuarto lugar, y conforme a los mandatos 11, 30, 51 y 52,  estamos determinados a apoyar a nuestros Estados en el fortalecimiento de las capacidades de nuestros funcionarios públicos, ya que los funcionarios están en primera línea en la implementación de las políticas públicas y su formación tiene un impacto significativo en temas como la prevención de la corrupción. En ese sentido, desde CAF, estamos impulsando una agenda enfocada en la capacitación de funcionarios y en la participación ciudadana. Iniciamos el 2018 con 10 cursos, y tendremos para el 2019 un catálogo de 22 MOOCS (</w:t>
      </w:r>
      <w:r w:rsidR="00C52F94" w:rsidRPr="003843E0">
        <w:rPr>
          <w:rFonts w:ascii="Times New Roman" w:hAnsi="Times New Roman"/>
          <w:i/>
          <w:lang w:eastAsia="fr-FR"/>
        </w:rPr>
        <w:t>“massive online open course”</w:t>
      </w:r>
      <w:r w:rsidR="00C52F94" w:rsidRPr="003843E0">
        <w:rPr>
          <w:rFonts w:ascii="Times New Roman" w:hAnsi="Times New Roman"/>
          <w:lang w:eastAsia="fr-FR"/>
        </w:rPr>
        <w:t xml:space="preserve">) sobre temas diversos como “evaluación de impacto” o “gestión de contratos de APP”. Además, el próximo año lanzaremos una oferta de una docena de cursos específicos para los países de la región, y junto a las instituciones académicas, nos volcaremos en el fortalecimiento curricular y en la cobertura de programas de pregrado y de maestrías orientadas a mejorar la calidad profesional de los funcionarios. </w:t>
      </w:r>
    </w:p>
    <w:p w:rsidR="00C52F94" w:rsidRPr="003843E0" w:rsidRDefault="00C52F94" w:rsidP="006E3910">
      <w:pPr>
        <w:pStyle w:val="ListParagraph"/>
        <w:spacing w:after="0" w:line="240" w:lineRule="auto"/>
        <w:ind w:left="360" w:hanging="360"/>
        <w:jc w:val="both"/>
        <w:rPr>
          <w:rFonts w:ascii="Times New Roman" w:eastAsia="Times New Roman" w:hAnsi="Times New Roman"/>
          <w:lang w:eastAsia="fr-FR"/>
        </w:rPr>
      </w:pPr>
    </w:p>
    <w:p w:rsidR="00C52F94" w:rsidRPr="003843E0" w:rsidRDefault="00C52F94" w:rsidP="006E3910">
      <w:pPr>
        <w:pStyle w:val="ListParagraph"/>
        <w:numPr>
          <w:ilvl w:val="0"/>
          <w:numId w:val="3"/>
        </w:numPr>
        <w:spacing w:after="0" w:line="240" w:lineRule="auto"/>
        <w:ind w:left="360"/>
        <w:jc w:val="both"/>
        <w:rPr>
          <w:rFonts w:ascii="Times New Roman" w:eastAsia="Times New Roman" w:hAnsi="Times New Roman"/>
          <w:lang w:eastAsia="fr-FR"/>
        </w:rPr>
      </w:pPr>
      <w:r w:rsidRPr="003843E0">
        <w:rPr>
          <w:rFonts w:ascii="Times New Roman" w:eastAsia="Times New Roman" w:hAnsi="Times New Roman"/>
          <w:lang w:eastAsia="fr-FR"/>
        </w:rPr>
        <w:t>A través de este esfuerzo multidimensional, que incide sobre aspectos de prevención, investigación, formación y coordinación inter-institucional, CAF espera contribuir de manera significativa a los esfuerzos de los Estados partes del proceso de Cumbres para alcanzar los ambiciosos objetivos del Compromiso de Lima.</w:t>
      </w:r>
    </w:p>
    <w:p w:rsidR="00E07849" w:rsidRPr="003843E0" w:rsidRDefault="00E07849" w:rsidP="006E3910">
      <w:pPr>
        <w:autoSpaceDE w:val="0"/>
        <w:autoSpaceDN w:val="0"/>
        <w:adjustRightInd w:val="0"/>
        <w:ind w:left="360" w:hanging="360"/>
        <w:jc w:val="both"/>
        <w:rPr>
          <w:sz w:val="22"/>
          <w:szCs w:val="22"/>
          <w:lang w:val="es-EC"/>
        </w:rPr>
      </w:pPr>
    </w:p>
    <w:p w:rsidR="006E3910" w:rsidRPr="003843E0" w:rsidRDefault="006E3910" w:rsidP="006E3910">
      <w:pPr>
        <w:autoSpaceDE w:val="0"/>
        <w:autoSpaceDN w:val="0"/>
        <w:adjustRightInd w:val="0"/>
        <w:jc w:val="both"/>
        <w:rPr>
          <w:sz w:val="22"/>
          <w:szCs w:val="22"/>
          <w:lang w:val="es-EC"/>
        </w:rPr>
      </w:pPr>
    </w:p>
    <w:sectPr w:rsidR="006E3910" w:rsidRPr="003843E0"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49" w:rsidRDefault="00E07849" w:rsidP="00E07849">
      <w:r>
        <w:separator/>
      </w:r>
    </w:p>
  </w:endnote>
  <w:endnote w:type="continuationSeparator" w:id="0">
    <w:p w:rsidR="00E07849" w:rsidRDefault="00E07849"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49" w:rsidRDefault="00E07849" w:rsidP="00E07849">
      <w:r>
        <w:separator/>
      </w:r>
    </w:p>
  </w:footnote>
  <w:footnote w:type="continuationSeparator" w:id="0">
    <w:p w:rsidR="00E07849" w:rsidRDefault="00E0784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rPr>
        <w:sz w:val="22"/>
        <w:szCs w:val="22"/>
      </w:rPr>
    </w:pPr>
    <w:r w:rsidRPr="00E07849">
      <w:rPr>
        <w:sz w:val="22"/>
        <w:szCs w:val="22"/>
      </w:rP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AE7125">
      <w:rPr>
        <w:noProof/>
        <w:sz w:val="22"/>
        <w:szCs w:val="22"/>
      </w:rPr>
      <w:t>3</w:t>
    </w:r>
    <w:r w:rsidRPr="00E07849">
      <w:rPr>
        <w:noProof/>
        <w:sz w:val="22"/>
        <w:szCs w:val="22"/>
      </w:rPr>
      <w:fldChar w:fldCharType="end"/>
    </w:r>
    <w:r w:rsidRPr="00E07849">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AE7125">
    <w:pPr>
      <w:pStyle w:val="Header"/>
    </w:pPr>
    <w:r w:rsidRPr="00C87CB1">
      <w:rPr>
        <w:noProof/>
        <w:sz w:val="22"/>
        <w:szCs w:val="22"/>
      </w:rPr>
      <w:drawing>
        <wp:inline distT="0" distB="0" distL="0" distR="0">
          <wp:extent cx="5689600" cy="1061085"/>
          <wp:effectExtent l="0" t="0" r="6350" b="5715"/>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061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3A6B"/>
    <w:multiLevelType w:val="hybridMultilevel"/>
    <w:tmpl w:val="D50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64FC"/>
    <w:multiLevelType w:val="hybridMultilevel"/>
    <w:tmpl w:val="C524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A2AA7"/>
    <w:multiLevelType w:val="hybridMultilevel"/>
    <w:tmpl w:val="E39EA946"/>
    <w:lvl w:ilvl="0" w:tplc="6284CC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C0132"/>
    <w:multiLevelType w:val="hybridMultilevel"/>
    <w:tmpl w:val="01A095A8"/>
    <w:lvl w:ilvl="0" w:tplc="8A4AB588">
      <w:start w:val="2"/>
      <w:numFmt w:val="bullet"/>
      <w:lvlText w:val="-"/>
      <w:lvlJc w:val="left"/>
      <w:pPr>
        <w:ind w:left="2880" w:hanging="360"/>
      </w:pPr>
      <w:rPr>
        <w:rFonts w:ascii="Times New Roman" w:eastAsia="Calibr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2B11585"/>
    <w:multiLevelType w:val="hybridMultilevel"/>
    <w:tmpl w:val="7ABE620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53342D32"/>
    <w:multiLevelType w:val="hybridMultilevel"/>
    <w:tmpl w:val="41EC8E24"/>
    <w:lvl w:ilvl="0" w:tplc="200A0001">
      <w:start w:val="1"/>
      <w:numFmt w:val="bullet"/>
      <w:lvlText w:val=""/>
      <w:lvlJc w:val="left"/>
      <w:pPr>
        <w:ind w:left="567" w:hanging="360"/>
      </w:pPr>
      <w:rPr>
        <w:rFonts w:ascii="Symbol" w:hAnsi="Symbol" w:hint="default"/>
      </w:rPr>
    </w:lvl>
    <w:lvl w:ilvl="1" w:tplc="200A0003" w:tentative="1">
      <w:start w:val="1"/>
      <w:numFmt w:val="bullet"/>
      <w:lvlText w:val="o"/>
      <w:lvlJc w:val="left"/>
      <w:pPr>
        <w:ind w:left="1287" w:hanging="360"/>
      </w:pPr>
      <w:rPr>
        <w:rFonts w:ascii="Courier New" w:hAnsi="Courier New" w:cs="Courier New" w:hint="default"/>
      </w:rPr>
    </w:lvl>
    <w:lvl w:ilvl="2" w:tplc="200A0005" w:tentative="1">
      <w:start w:val="1"/>
      <w:numFmt w:val="bullet"/>
      <w:lvlText w:val=""/>
      <w:lvlJc w:val="left"/>
      <w:pPr>
        <w:ind w:left="2007" w:hanging="360"/>
      </w:pPr>
      <w:rPr>
        <w:rFonts w:ascii="Wingdings" w:hAnsi="Wingdings" w:hint="default"/>
      </w:rPr>
    </w:lvl>
    <w:lvl w:ilvl="3" w:tplc="200A0001" w:tentative="1">
      <w:start w:val="1"/>
      <w:numFmt w:val="bullet"/>
      <w:lvlText w:val=""/>
      <w:lvlJc w:val="left"/>
      <w:pPr>
        <w:ind w:left="2727" w:hanging="360"/>
      </w:pPr>
      <w:rPr>
        <w:rFonts w:ascii="Symbol" w:hAnsi="Symbol" w:hint="default"/>
      </w:rPr>
    </w:lvl>
    <w:lvl w:ilvl="4" w:tplc="200A0003" w:tentative="1">
      <w:start w:val="1"/>
      <w:numFmt w:val="bullet"/>
      <w:lvlText w:val="o"/>
      <w:lvlJc w:val="left"/>
      <w:pPr>
        <w:ind w:left="3447" w:hanging="360"/>
      </w:pPr>
      <w:rPr>
        <w:rFonts w:ascii="Courier New" w:hAnsi="Courier New" w:cs="Courier New" w:hint="default"/>
      </w:rPr>
    </w:lvl>
    <w:lvl w:ilvl="5" w:tplc="200A0005" w:tentative="1">
      <w:start w:val="1"/>
      <w:numFmt w:val="bullet"/>
      <w:lvlText w:val=""/>
      <w:lvlJc w:val="left"/>
      <w:pPr>
        <w:ind w:left="4167" w:hanging="360"/>
      </w:pPr>
      <w:rPr>
        <w:rFonts w:ascii="Wingdings" w:hAnsi="Wingdings" w:hint="default"/>
      </w:rPr>
    </w:lvl>
    <w:lvl w:ilvl="6" w:tplc="200A0001" w:tentative="1">
      <w:start w:val="1"/>
      <w:numFmt w:val="bullet"/>
      <w:lvlText w:val=""/>
      <w:lvlJc w:val="left"/>
      <w:pPr>
        <w:ind w:left="4887" w:hanging="360"/>
      </w:pPr>
      <w:rPr>
        <w:rFonts w:ascii="Symbol" w:hAnsi="Symbol" w:hint="default"/>
      </w:rPr>
    </w:lvl>
    <w:lvl w:ilvl="7" w:tplc="200A0003" w:tentative="1">
      <w:start w:val="1"/>
      <w:numFmt w:val="bullet"/>
      <w:lvlText w:val="o"/>
      <w:lvlJc w:val="left"/>
      <w:pPr>
        <w:ind w:left="5607" w:hanging="360"/>
      </w:pPr>
      <w:rPr>
        <w:rFonts w:ascii="Courier New" w:hAnsi="Courier New" w:cs="Courier New" w:hint="default"/>
      </w:rPr>
    </w:lvl>
    <w:lvl w:ilvl="8" w:tplc="200A0005" w:tentative="1">
      <w:start w:val="1"/>
      <w:numFmt w:val="bullet"/>
      <w:lvlText w:val=""/>
      <w:lvlJc w:val="left"/>
      <w:pPr>
        <w:ind w:left="6327" w:hanging="360"/>
      </w:pPr>
      <w:rPr>
        <w:rFonts w:ascii="Wingdings" w:hAnsi="Wingdings" w:hint="default"/>
      </w:rPr>
    </w:lvl>
  </w:abstractNum>
  <w:abstractNum w:abstractNumId="7"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241382"/>
    <w:rsid w:val="003843E0"/>
    <w:rsid w:val="00391A8F"/>
    <w:rsid w:val="003D5752"/>
    <w:rsid w:val="00416CA6"/>
    <w:rsid w:val="006E3910"/>
    <w:rsid w:val="0077593A"/>
    <w:rsid w:val="00837E5F"/>
    <w:rsid w:val="00845E80"/>
    <w:rsid w:val="008D1406"/>
    <w:rsid w:val="008F24F9"/>
    <w:rsid w:val="009870B9"/>
    <w:rsid w:val="00A74C22"/>
    <w:rsid w:val="00AB12B2"/>
    <w:rsid w:val="00AE7125"/>
    <w:rsid w:val="00B818A0"/>
    <w:rsid w:val="00C40EB6"/>
    <w:rsid w:val="00C52F94"/>
    <w:rsid w:val="00C62993"/>
    <w:rsid w:val="00C87CB1"/>
    <w:rsid w:val="00E07849"/>
    <w:rsid w:val="00E4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DFD0EDC-FAF1-438E-BB4F-E6EAA4C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p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pPr>
  </w:style>
  <w:style w:type="character" w:customStyle="1" w:styleId="FooterChar">
    <w:name w:val="Footer Char"/>
    <w:link w:val="Footer"/>
    <w:rsid w:val="00E07849"/>
    <w:rPr>
      <w:sz w:val="24"/>
      <w:szCs w:val="24"/>
    </w:rPr>
  </w:style>
  <w:style w:type="paragraph" w:styleId="ListParagraph">
    <w:name w:val="List Paragraph"/>
    <w:basedOn w:val="Normal"/>
    <w:uiPriority w:val="34"/>
    <w:qFormat/>
    <w:rsid w:val="00C52F94"/>
    <w:pPr>
      <w:spacing w:after="160" w:line="259" w:lineRule="auto"/>
      <w:ind w:left="720"/>
      <w:contextualSpacing/>
    </w:pPr>
    <w:rPr>
      <w:rFonts w:ascii="Calibri" w:eastAsia="Calibri" w:hAnsi="Calibri"/>
      <w:sz w:val="22"/>
      <w:szCs w:val="22"/>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F856-963A-46C6-97DA-DB49E724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2</cp:revision>
  <dcterms:created xsi:type="dcterms:W3CDTF">2018-09-12T20:30:00Z</dcterms:created>
  <dcterms:modified xsi:type="dcterms:W3CDTF">2018-09-12T20:30:00Z</dcterms:modified>
</cp:coreProperties>
</file>