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C3BC17" w14:textId="77777777" w:rsidR="005052D9" w:rsidRDefault="005052D9" w:rsidP="00484DF1">
      <w:pPr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14:paraId="7C13BBDB" w14:textId="77777777" w:rsidR="00484DF1" w:rsidRPr="005052D9" w:rsidRDefault="0005434C" w:rsidP="00484DF1">
      <w:pPr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 xml:space="preserve">GRUPO DE TRABAJO CONJUNTO DE CUMBRES </w:t>
      </w:r>
      <w:r w:rsidR="00C5261D">
        <w:rPr>
          <w:rFonts w:ascii="Times New Roman" w:hAnsi="Times New Roman"/>
        </w:rPr>
        <w:tab/>
      </w:r>
      <w:r>
        <w:rPr>
          <w:rFonts w:ascii="Times New Roman" w:hAnsi="Times New Roman"/>
        </w:rPr>
        <w:t>OEA/Ser.E</w:t>
      </w:r>
    </w:p>
    <w:p w14:paraId="1C1ACA5B" w14:textId="77777777" w:rsidR="00484DF1" w:rsidRPr="005052D9" w:rsidRDefault="0005434C" w:rsidP="00484DF1">
      <w:pPr>
        <w:autoSpaceDE w:val="0"/>
        <w:autoSpaceDN w:val="0"/>
        <w:adjustRightInd w:val="0"/>
        <w:spacing w:after="0" w:line="240" w:lineRule="auto"/>
        <w:ind w:right="-1260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>Reunión de Altas Autoridades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GTCC/INF.20/20</w:t>
      </w:r>
    </w:p>
    <w:p w14:paraId="4AD1BA08" w14:textId="77777777" w:rsidR="00484DF1" w:rsidRPr="005052D9" w:rsidRDefault="0005434C" w:rsidP="00484DF1">
      <w:pPr>
        <w:autoSpaceDE w:val="0"/>
        <w:autoSpaceDN w:val="0"/>
        <w:adjustRightInd w:val="0"/>
        <w:spacing w:after="0" w:line="240" w:lineRule="auto"/>
        <w:ind w:right="-1260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>3 de abril de 2020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C5261D">
        <w:rPr>
          <w:rFonts w:ascii="Times New Roman" w:hAnsi="Times New Roman"/>
        </w:rPr>
        <w:t>3 abril 2020</w:t>
      </w:r>
    </w:p>
    <w:p w14:paraId="6ADAAEDA" w14:textId="77777777" w:rsidR="00484DF1" w:rsidRPr="005052D9" w:rsidRDefault="0005434C" w:rsidP="00484DF1">
      <w:pPr>
        <w:autoSpaceDE w:val="0"/>
        <w:autoSpaceDN w:val="0"/>
        <w:adjustRightInd w:val="0"/>
        <w:spacing w:after="0" w:line="240" w:lineRule="auto"/>
        <w:ind w:right="-1260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>Washington, D. C.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Original: inglés</w:t>
      </w:r>
    </w:p>
    <w:p w14:paraId="6272DB40" w14:textId="77777777" w:rsidR="00484DF1" w:rsidRPr="005052D9" w:rsidRDefault="00484DF1" w:rsidP="00484DF1">
      <w:pPr>
        <w:autoSpaceDE w:val="0"/>
        <w:autoSpaceDN w:val="0"/>
        <w:adjustRightInd w:val="0"/>
        <w:spacing w:after="0" w:line="240" w:lineRule="auto"/>
        <w:ind w:right="-360"/>
        <w:rPr>
          <w:rFonts w:ascii="Times New Roman" w:eastAsia="Times New Roman" w:hAnsi="Times New Roman"/>
        </w:rPr>
      </w:pPr>
    </w:p>
    <w:p w14:paraId="6B522267" w14:textId="77777777" w:rsidR="00484DF1" w:rsidRPr="005052D9" w:rsidRDefault="00484DF1" w:rsidP="00484D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</w:p>
    <w:p w14:paraId="48FEC8CC" w14:textId="77777777" w:rsidR="00484DF1" w:rsidRPr="005052D9" w:rsidRDefault="00484DF1" w:rsidP="00484D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</w:p>
    <w:p w14:paraId="716A0BDA" w14:textId="77777777" w:rsidR="00C91ED8" w:rsidRDefault="0005434C" w:rsidP="00C5261D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Notas informativas para la reunión del Grupo de Trabajo Conjunto de Cumbres de la OEA</w:t>
      </w:r>
    </w:p>
    <w:p w14:paraId="0C55B0EB" w14:textId="77777777" w:rsidR="00C5261D" w:rsidRDefault="00C5261D" w:rsidP="00C5261D">
      <w:pPr>
        <w:spacing w:after="0" w:line="240" w:lineRule="auto"/>
        <w:rPr>
          <w:rFonts w:ascii="Times New Roman" w:hAnsi="Times New Roman"/>
        </w:rPr>
      </w:pPr>
    </w:p>
    <w:p w14:paraId="4E70F17A" w14:textId="77777777" w:rsidR="005052D9" w:rsidRPr="005052D9" w:rsidRDefault="0005434C" w:rsidP="00C5261D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>(Presentado por la Dra. Carissa F. Etienne, Organización Panamericana de la Salud)</w:t>
      </w:r>
    </w:p>
    <w:p w14:paraId="5DECA172" w14:textId="77777777" w:rsidR="00C91ED8" w:rsidRPr="005052D9" w:rsidRDefault="0005434C" w:rsidP="00C5261D">
      <w:pPr>
        <w:spacing w:after="0" w:line="240" w:lineRule="auto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(3 de abril de 2020)</w:t>
      </w:r>
    </w:p>
    <w:p w14:paraId="59FA813B" w14:textId="77777777" w:rsidR="00C55556" w:rsidRPr="005052D9" w:rsidRDefault="00C55556" w:rsidP="00C526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14:paraId="7A3CA712" w14:textId="77777777" w:rsidR="00C91ED8" w:rsidRDefault="0005434C" w:rsidP="00C5261D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Situación actual</w:t>
      </w:r>
    </w:p>
    <w:p w14:paraId="03E25A4C" w14:textId="77777777" w:rsidR="00C5261D" w:rsidRPr="005052D9" w:rsidRDefault="00C5261D" w:rsidP="00C5261D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1DAED9B9" w14:textId="77777777" w:rsidR="002A5D86" w:rsidRPr="005052D9" w:rsidRDefault="0005434C" w:rsidP="00C5261D">
      <w:pPr>
        <w:pStyle w:val="Default"/>
        <w:ind w:firstLine="720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>
        <w:rPr>
          <w:rFonts w:ascii="Times New Roman" w:hAnsi="Times New Roman"/>
          <w:bCs/>
          <w:color w:val="auto"/>
          <w:sz w:val="22"/>
          <w:szCs w:val="22"/>
        </w:rPr>
        <w:t>Ya son más de 1 millón los casos de COVID-19 y 50</w:t>
      </w:r>
      <w:r w:rsidR="00304F77">
        <w:rPr>
          <w:rFonts w:ascii="Times New Roman" w:hAnsi="Times New Roman"/>
          <w:bCs/>
          <w:color w:val="auto"/>
          <w:sz w:val="22"/>
          <w:szCs w:val="22"/>
        </w:rPr>
        <w:t xml:space="preserve"> </w:t>
      </w:r>
      <w:r>
        <w:rPr>
          <w:rFonts w:ascii="Times New Roman" w:hAnsi="Times New Roman"/>
          <w:bCs/>
          <w:color w:val="auto"/>
          <w:sz w:val="22"/>
          <w:szCs w:val="22"/>
        </w:rPr>
        <w:t>000 los muertos por esta pandemia en todo el mundo</w:t>
      </w:r>
      <w:r w:rsidR="00304F77">
        <w:rPr>
          <w:rFonts w:ascii="Times New Roman" w:hAnsi="Times New Roman"/>
          <w:bCs/>
          <w:color w:val="auto"/>
          <w:sz w:val="22"/>
          <w:szCs w:val="22"/>
        </w:rPr>
        <w:t>;</w:t>
      </w:r>
      <w:r>
        <w:rPr>
          <w:rFonts w:ascii="Times New Roman" w:hAnsi="Times New Roman"/>
          <w:bCs/>
          <w:color w:val="auto"/>
          <w:sz w:val="22"/>
          <w:szCs w:val="22"/>
        </w:rPr>
        <w:t xml:space="preserve"> y Europa </w:t>
      </w:r>
      <w:r w:rsidR="00304F77">
        <w:rPr>
          <w:rFonts w:ascii="Times New Roman" w:hAnsi="Times New Roman"/>
          <w:bCs/>
          <w:color w:val="auto"/>
          <w:sz w:val="22"/>
          <w:szCs w:val="22"/>
        </w:rPr>
        <w:t>registra</w:t>
      </w:r>
      <w:r>
        <w:rPr>
          <w:rFonts w:ascii="Times New Roman" w:hAnsi="Times New Roman"/>
          <w:bCs/>
          <w:color w:val="auto"/>
          <w:sz w:val="22"/>
          <w:szCs w:val="22"/>
        </w:rPr>
        <w:t xml:space="preserve"> el 75% de los nuevos casos diarios. </w:t>
      </w:r>
    </w:p>
    <w:p w14:paraId="57E345F4" w14:textId="77777777" w:rsidR="00C5261D" w:rsidRDefault="00C5261D" w:rsidP="00C5261D">
      <w:pPr>
        <w:pStyle w:val="Default"/>
        <w:jc w:val="both"/>
        <w:rPr>
          <w:rFonts w:ascii="Times New Roman" w:hAnsi="Times New Roman"/>
          <w:bCs/>
          <w:color w:val="auto"/>
          <w:sz w:val="22"/>
          <w:szCs w:val="22"/>
        </w:rPr>
      </w:pPr>
    </w:p>
    <w:p w14:paraId="44FF80E0" w14:textId="77777777" w:rsidR="005052D9" w:rsidRDefault="0005434C" w:rsidP="00C5261D">
      <w:pPr>
        <w:pStyle w:val="Default"/>
        <w:ind w:firstLine="720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>
        <w:rPr>
          <w:rFonts w:ascii="Times New Roman" w:hAnsi="Times New Roman"/>
          <w:bCs/>
          <w:color w:val="auto"/>
          <w:sz w:val="22"/>
          <w:szCs w:val="22"/>
        </w:rPr>
        <w:t xml:space="preserve">En las Américas, al 2 de abril de 2020 (14:00 hora de Washington, D. C.) 51 países y territorios habían reportado 247 473 casos confirmados de la enfermedad de COVID-19 y 5600 muertes. En las últimas 24 horas, nuestra región ha registrado un incremento del 14% en el número de casos y 23% en el número de defunciones. </w:t>
      </w:r>
    </w:p>
    <w:p w14:paraId="18FFE60C" w14:textId="77777777" w:rsidR="00BA34EF" w:rsidRPr="005052D9" w:rsidRDefault="00BA34EF" w:rsidP="00C5261D">
      <w:pPr>
        <w:pStyle w:val="Default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p w14:paraId="2C291794" w14:textId="77777777" w:rsidR="00C91ED8" w:rsidRPr="005052D9" w:rsidRDefault="0005434C" w:rsidP="00C5261D">
      <w:pPr>
        <w:pStyle w:val="Default"/>
        <w:ind w:firstLine="720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>
        <w:rPr>
          <w:rFonts w:ascii="Times New Roman" w:hAnsi="Times New Roman"/>
          <w:bCs/>
          <w:color w:val="auto"/>
          <w:sz w:val="22"/>
          <w:szCs w:val="22"/>
        </w:rPr>
        <w:t xml:space="preserve">Estados Unidos </w:t>
      </w:r>
      <w:r w:rsidR="00304F77">
        <w:rPr>
          <w:rFonts w:ascii="Times New Roman" w:hAnsi="Times New Roman"/>
          <w:bCs/>
          <w:color w:val="auto"/>
          <w:sz w:val="22"/>
          <w:szCs w:val="22"/>
        </w:rPr>
        <w:t>registra</w:t>
      </w:r>
      <w:r>
        <w:rPr>
          <w:rFonts w:ascii="Times New Roman" w:hAnsi="Times New Roman"/>
          <w:bCs/>
          <w:color w:val="auto"/>
          <w:sz w:val="22"/>
          <w:szCs w:val="22"/>
        </w:rPr>
        <w:t xml:space="preserve"> el 86% de los casos y muertes en la región y es ahora el país con el mayor número de casos confirmados acumulados en el mundo. En el estado de Nueva York, el 37% de los pacientes examinados resultaron positivos en COVID-19; el número de muertes aumentó tres veces en los últimos cinco días, y el número de nuevos pacientes hospitalizados aumentó 15% en un día (25% de los cuales fueron asignados a cuidados intensivos con </w:t>
      </w:r>
      <w:r w:rsidR="00304F77">
        <w:rPr>
          <w:rFonts w:ascii="Times New Roman" w:hAnsi="Times New Roman"/>
          <w:bCs/>
          <w:color w:val="auto"/>
          <w:sz w:val="22"/>
          <w:szCs w:val="22"/>
        </w:rPr>
        <w:t>respiradores artificiales</w:t>
      </w:r>
      <w:r>
        <w:rPr>
          <w:rFonts w:ascii="Times New Roman" w:hAnsi="Times New Roman"/>
          <w:bCs/>
          <w:color w:val="auto"/>
          <w:sz w:val="22"/>
          <w:szCs w:val="22"/>
        </w:rPr>
        <w:t>).</w:t>
      </w:r>
    </w:p>
    <w:p w14:paraId="3F7A4B9A" w14:textId="77777777" w:rsidR="00C91ED8" w:rsidRPr="005052D9" w:rsidRDefault="00C91ED8" w:rsidP="00C5261D">
      <w:pPr>
        <w:pStyle w:val="Default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p w14:paraId="51B32DAF" w14:textId="77777777" w:rsidR="00283CB4" w:rsidRPr="005052D9" w:rsidRDefault="0005434C" w:rsidP="00C5261D">
      <w:pPr>
        <w:pStyle w:val="Default"/>
        <w:ind w:firstLine="720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>
        <w:rPr>
          <w:rFonts w:ascii="Times New Roman" w:hAnsi="Times New Roman"/>
          <w:bCs/>
          <w:color w:val="auto"/>
          <w:sz w:val="22"/>
          <w:szCs w:val="22"/>
        </w:rPr>
        <w:t xml:space="preserve">Otros países de la región con el mayor número acumulado de casos son Canadá, Brasil, Chile y Ecuador. </w:t>
      </w:r>
    </w:p>
    <w:p w14:paraId="61EC6B23" w14:textId="2753D905" w:rsidR="00A235D5" w:rsidRPr="005052D9" w:rsidRDefault="008B5A6E" w:rsidP="00C5261D">
      <w:pPr>
        <w:pStyle w:val="Default"/>
        <w:jc w:val="center"/>
        <w:rPr>
          <w:rFonts w:ascii="Times New Roman" w:hAnsi="Times New Roman" w:cs="Times New Roman"/>
          <w:bCs/>
          <w:color w:val="auto"/>
          <w:sz w:val="22"/>
          <w:szCs w:val="22"/>
        </w:rPr>
      </w:pPr>
      <w:r>
        <w:rPr>
          <w:rFonts w:ascii="Times New Roman" w:hAnsi="Times New Roman"/>
          <w:noProof/>
          <w:color w:val="auto"/>
          <w:sz w:val="22"/>
          <w:szCs w:val="22"/>
          <w:lang w:val="en-US"/>
        </w:rPr>
        <w:drawing>
          <wp:inline distT="0" distB="0" distL="0" distR="0" wp14:anchorId="67A991CF" wp14:editId="0799836E">
            <wp:extent cx="2062480" cy="1163320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480" cy="116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D71261" w14:textId="77777777" w:rsidR="00C5261D" w:rsidRDefault="00C5261D" w:rsidP="00C5261D">
      <w:pPr>
        <w:pStyle w:val="Default"/>
        <w:rPr>
          <w:rFonts w:ascii="Times New Roman" w:hAnsi="Times New Roman"/>
          <w:bCs/>
          <w:color w:val="auto"/>
          <w:sz w:val="22"/>
          <w:szCs w:val="22"/>
        </w:rPr>
      </w:pPr>
    </w:p>
    <w:p w14:paraId="66E8E5F5" w14:textId="77777777" w:rsidR="00BA34EF" w:rsidRDefault="0005434C" w:rsidP="00C5261D">
      <w:pPr>
        <w:pStyle w:val="Default"/>
        <w:ind w:firstLine="720"/>
        <w:jc w:val="both"/>
        <w:rPr>
          <w:rFonts w:ascii="Times New Roman" w:hAnsi="Times New Roman"/>
          <w:bCs/>
          <w:color w:val="auto"/>
          <w:sz w:val="22"/>
          <w:szCs w:val="22"/>
        </w:rPr>
      </w:pPr>
      <w:r>
        <w:rPr>
          <w:rFonts w:ascii="Times New Roman" w:hAnsi="Times New Roman"/>
          <w:bCs/>
          <w:color w:val="auto"/>
          <w:sz w:val="22"/>
          <w:szCs w:val="22"/>
        </w:rPr>
        <w:t xml:space="preserve">Treinta y tres de los 35 países de las Américas han implementado </w:t>
      </w:r>
      <w:r w:rsidR="00304F77">
        <w:rPr>
          <w:rFonts w:ascii="Times New Roman" w:hAnsi="Times New Roman"/>
          <w:bCs/>
          <w:color w:val="auto"/>
          <w:sz w:val="22"/>
          <w:szCs w:val="22"/>
        </w:rPr>
        <w:t>prohibiciones</w:t>
      </w:r>
      <w:r>
        <w:rPr>
          <w:rFonts w:ascii="Times New Roman" w:hAnsi="Times New Roman"/>
          <w:bCs/>
          <w:color w:val="auto"/>
          <w:sz w:val="22"/>
          <w:szCs w:val="22"/>
        </w:rPr>
        <w:t xml:space="preserve"> adicionales de salida y entrada y restricciones fronterizas, lo cual ha incidido significativamente en el tránsito internacional. La excepción son México y Nicaragua.</w:t>
      </w:r>
    </w:p>
    <w:p w14:paraId="0FCAD63A" w14:textId="77777777" w:rsidR="00C5261D" w:rsidRPr="005052D9" w:rsidRDefault="00C5261D" w:rsidP="00C5261D">
      <w:pPr>
        <w:pStyle w:val="Default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p w14:paraId="738929F6" w14:textId="77777777" w:rsidR="002A5D86" w:rsidRPr="005052D9" w:rsidRDefault="0005434C" w:rsidP="00C5261D">
      <w:pPr>
        <w:pStyle w:val="Default"/>
        <w:ind w:firstLine="720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>
        <w:rPr>
          <w:rFonts w:ascii="Times New Roman" w:hAnsi="Times New Roman"/>
          <w:bCs/>
          <w:color w:val="auto"/>
          <w:sz w:val="22"/>
          <w:szCs w:val="22"/>
        </w:rPr>
        <w:t>Los países con un mayor número de casos confirmados son los que han ampliado los controles e implementado más pruebas de laboratorio.</w:t>
      </w:r>
    </w:p>
    <w:p w14:paraId="701BB9BA" w14:textId="77777777" w:rsidR="00C5261D" w:rsidRDefault="00C5261D" w:rsidP="00C5261D">
      <w:pPr>
        <w:pStyle w:val="Default"/>
        <w:jc w:val="both"/>
        <w:rPr>
          <w:rFonts w:ascii="Times New Roman" w:hAnsi="Times New Roman"/>
          <w:bCs/>
          <w:color w:val="auto"/>
          <w:sz w:val="22"/>
          <w:szCs w:val="22"/>
        </w:rPr>
      </w:pPr>
    </w:p>
    <w:p w14:paraId="72B0FC0B" w14:textId="77777777" w:rsidR="004011E7" w:rsidRPr="005052D9" w:rsidRDefault="0005434C" w:rsidP="00C5261D">
      <w:pPr>
        <w:pStyle w:val="Default"/>
        <w:ind w:firstLine="720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>
        <w:rPr>
          <w:rFonts w:ascii="Times New Roman" w:hAnsi="Times New Roman"/>
          <w:bCs/>
          <w:color w:val="auto"/>
          <w:sz w:val="22"/>
          <w:szCs w:val="22"/>
        </w:rPr>
        <w:t>Casi todos los países han declarado emergencia nacional y han estado trabajando las 24 horas del día para establecer instalaciones que les permitan brindar asistencia a pacientes con COVID-19.</w:t>
      </w:r>
    </w:p>
    <w:p w14:paraId="0AC22C5C" w14:textId="77777777" w:rsidR="007E5FB6" w:rsidRPr="005052D9" w:rsidRDefault="0005434C" w:rsidP="00C5261D">
      <w:pPr>
        <w:spacing w:after="0" w:line="240" w:lineRule="auto"/>
        <w:rPr>
          <w:rFonts w:ascii="Times New Roman" w:hAnsi="Times New Roman"/>
          <w:b/>
        </w:rPr>
      </w:pPr>
      <w:r>
        <w:br w:type="page"/>
      </w:r>
      <w:r>
        <w:rPr>
          <w:rFonts w:ascii="Times New Roman" w:hAnsi="Times New Roman"/>
          <w:b/>
        </w:rPr>
        <w:lastRenderedPageBreak/>
        <w:t>Preparación</w:t>
      </w:r>
    </w:p>
    <w:p w14:paraId="562C6A5C" w14:textId="77777777" w:rsidR="00C5261D" w:rsidRDefault="00C5261D" w:rsidP="00C5261D">
      <w:pPr>
        <w:pStyle w:val="Default"/>
        <w:rPr>
          <w:rFonts w:ascii="Times New Roman" w:hAnsi="Times New Roman"/>
          <w:bCs/>
          <w:color w:val="auto"/>
          <w:sz w:val="22"/>
          <w:szCs w:val="22"/>
        </w:rPr>
      </w:pPr>
    </w:p>
    <w:p w14:paraId="00F93A52" w14:textId="77777777" w:rsidR="00283CB4" w:rsidRPr="005052D9" w:rsidRDefault="0005434C" w:rsidP="00C5261D">
      <w:pPr>
        <w:pStyle w:val="Default"/>
        <w:ind w:firstLine="720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>
        <w:rPr>
          <w:rFonts w:ascii="Times New Roman" w:hAnsi="Times New Roman"/>
          <w:bCs/>
          <w:color w:val="auto"/>
          <w:sz w:val="22"/>
          <w:szCs w:val="22"/>
        </w:rPr>
        <w:t>Mucho antes de la COVID-19, todos los países de las Américas habían estado reforzando su capacidad para responder a las infecciones respiratorias agudas graves.</w:t>
      </w:r>
    </w:p>
    <w:p w14:paraId="743F08AB" w14:textId="77777777" w:rsidR="00C5261D" w:rsidRDefault="00C5261D" w:rsidP="00C5261D">
      <w:pPr>
        <w:pStyle w:val="Default"/>
        <w:jc w:val="both"/>
        <w:rPr>
          <w:rFonts w:ascii="Times New Roman" w:hAnsi="Times New Roman"/>
          <w:bCs/>
          <w:color w:val="auto"/>
          <w:sz w:val="22"/>
          <w:szCs w:val="22"/>
        </w:rPr>
      </w:pPr>
    </w:p>
    <w:p w14:paraId="313C80C2" w14:textId="77777777" w:rsidR="00283CB4" w:rsidRPr="005052D9" w:rsidRDefault="0005434C" w:rsidP="00C5261D">
      <w:pPr>
        <w:pStyle w:val="Default"/>
        <w:ind w:firstLine="720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>
        <w:rPr>
          <w:rFonts w:ascii="Times New Roman" w:hAnsi="Times New Roman"/>
          <w:bCs/>
          <w:color w:val="auto"/>
          <w:sz w:val="22"/>
          <w:szCs w:val="22"/>
        </w:rPr>
        <w:t xml:space="preserve">Actualmente en todos los países de la región existen cerca de 700 puestos dedicados a la vigilancia de infecciones respiratorias agudas graves. </w:t>
      </w:r>
    </w:p>
    <w:p w14:paraId="7924626C" w14:textId="77777777" w:rsidR="00C5261D" w:rsidRDefault="00C5261D" w:rsidP="00C5261D">
      <w:pPr>
        <w:pStyle w:val="Default"/>
        <w:jc w:val="both"/>
        <w:rPr>
          <w:rFonts w:ascii="Times New Roman" w:hAnsi="Times New Roman"/>
          <w:bCs/>
          <w:color w:val="auto"/>
          <w:sz w:val="22"/>
          <w:szCs w:val="22"/>
        </w:rPr>
      </w:pPr>
    </w:p>
    <w:p w14:paraId="03E0C22C" w14:textId="77777777" w:rsidR="00283CB4" w:rsidRPr="005052D9" w:rsidRDefault="0005434C" w:rsidP="00C5261D">
      <w:pPr>
        <w:pStyle w:val="Default"/>
        <w:ind w:firstLine="720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>
        <w:rPr>
          <w:rFonts w:ascii="Times New Roman" w:hAnsi="Times New Roman"/>
          <w:bCs/>
          <w:color w:val="auto"/>
          <w:sz w:val="22"/>
          <w:szCs w:val="22"/>
        </w:rPr>
        <w:t>Treinta y un países cuentan ya con la capacidad para realizar pruebas de laboratorio de reacción en cadena de la polimerasa en tiempo real (conocida en inglés como real time polymerase chain reaction o RP-PCR).</w:t>
      </w:r>
    </w:p>
    <w:p w14:paraId="6085CBE7" w14:textId="77777777" w:rsidR="00C5261D" w:rsidRDefault="00C5261D" w:rsidP="00C5261D">
      <w:pPr>
        <w:pStyle w:val="Default"/>
        <w:jc w:val="both"/>
        <w:rPr>
          <w:rFonts w:ascii="Times New Roman" w:hAnsi="Times New Roman"/>
          <w:bCs/>
          <w:color w:val="auto"/>
          <w:sz w:val="22"/>
          <w:szCs w:val="22"/>
        </w:rPr>
      </w:pPr>
    </w:p>
    <w:p w14:paraId="07EC466C" w14:textId="77777777" w:rsidR="00283CB4" w:rsidRPr="005052D9" w:rsidRDefault="0005434C" w:rsidP="00C5261D">
      <w:pPr>
        <w:pStyle w:val="Default"/>
        <w:ind w:firstLine="720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>
        <w:rPr>
          <w:rFonts w:ascii="Times New Roman" w:hAnsi="Times New Roman"/>
          <w:bCs/>
          <w:color w:val="auto"/>
          <w:sz w:val="22"/>
          <w:szCs w:val="22"/>
        </w:rPr>
        <w:t>Todos los países ya habían elaborado sus planes nacionales de preparación ante una pandemia de influenza.</w:t>
      </w:r>
    </w:p>
    <w:p w14:paraId="0E56471F" w14:textId="77777777" w:rsidR="00C5261D" w:rsidRDefault="00C5261D" w:rsidP="00C5261D">
      <w:pPr>
        <w:pStyle w:val="Default"/>
        <w:jc w:val="both"/>
        <w:rPr>
          <w:rFonts w:ascii="Times New Roman" w:hAnsi="Times New Roman"/>
          <w:bCs/>
          <w:color w:val="auto"/>
          <w:sz w:val="22"/>
          <w:szCs w:val="22"/>
        </w:rPr>
      </w:pPr>
    </w:p>
    <w:p w14:paraId="1EF33858" w14:textId="77777777" w:rsidR="00C91ED8" w:rsidRPr="005052D9" w:rsidRDefault="0005434C" w:rsidP="00C5261D">
      <w:pPr>
        <w:pStyle w:val="Default"/>
        <w:ind w:firstLine="720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>
        <w:rPr>
          <w:rFonts w:ascii="Times New Roman" w:hAnsi="Times New Roman"/>
          <w:bCs/>
          <w:color w:val="auto"/>
          <w:sz w:val="22"/>
          <w:szCs w:val="22"/>
        </w:rPr>
        <w:t>Nuestros países han estado fortaleciendo las funciones esenciales de salud pública y han estado evaluando su capacidad tomando como referencia el Reglamento Sanitario Internacional (RSI).</w:t>
      </w:r>
    </w:p>
    <w:p w14:paraId="73C557C4" w14:textId="77777777" w:rsidR="00C91ED8" w:rsidRPr="005052D9" w:rsidRDefault="00C91ED8" w:rsidP="00C5261D">
      <w:pPr>
        <w:pStyle w:val="Default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p w14:paraId="74C4E533" w14:textId="77777777" w:rsidR="004011E7" w:rsidRPr="005052D9" w:rsidRDefault="0005434C" w:rsidP="00C5261D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Respuesta de la OPS a la enfermedad por COVID-19</w:t>
      </w:r>
    </w:p>
    <w:p w14:paraId="4099BE0D" w14:textId="77777777" w:rsidR="00C5261D" w:rsidRDefault="00C5261D" w:rsidP="00C5261D">
      <w:pPr>
        <w:pStyle w:val="Default"/>
        <w:jc w:val="both"/>
        <w:rPr>
          <w:rFonts w:ascii="Times New Roman" w:hAnsi="Times New Roman"/>
          <w:bCs/>
          <w:color w:val="auto"/>
          <w:sz w:val="22"/>
          <w:szCs w:val="22"/>
        </w:rPr>
      </w:pPr>
    </w:p>
    <w:p w14:paraId="651CE18C" w14:textId="77777777" w:rsidR="004011E7" w:rsidRPr="005052D9" w:rsidRDefault="0005434C" w:rsidP="00C5261D">
      <w:pPr>
        <w:pStyle w:val="Default"/>
        <w:ind w:firstLine="720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>
        <w:rPr>
          <w:rFonts w:ascii="Times New Roman" w:hAnsi="Times New Roman"/>
          <w:bCs/>
          <w:color w:val="auto"/>
          <w:sz w:val="22"/>
          <w:szCs w:val="22"/>
        </w:rPr>
        <w:t xml:space="preserve">Todos los días desde el 31 de diciembre se envían noticias actualizadas a todos los Estados Miembros a través de los Centros Nacionales de Enlace para el RSI. </w:t>
      </w:r>
    </w:p>
    <w:p w14:paraId="2005961F" w14:textId="77777777" w:rsidR="00C5261D" w:rsidRDefault="00C5261D" w:rsidP="00C5261D">
      <w:pPr>
        <w:pStyle w:val="Default"/>
        <w:jc w:val="both"/>
        <w:rPr>
          <w:rFonts w:ascii="Times New Roman" w:hAnsi="Times New Roman"/>
          <w:bCs/>
          <w:color w:val="auto"/>
          <w:sz w:val="22"/>
          <w:szCs w:val="22"/>
        </w:rPr>
      </w:pPr>
    </w:p>
    <w:p w14:paraId="115CEA12" w14:textId="77777777" w:rsidR="007D2752" w:rsidRPr="005052D9" w:rsidRDefault="0005434C" w:rsidP="00C5261D">
      <w:pPr>
        <w:pStyle w:val="Default"/>
        <w:ind w:firstLine="720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>
        <w:rPr>
          <w:rFonts w:ascii="Times New Roman" w:hAnsi="Times New Roman"/>
          <w:bCs/>
          <w:color w:val="auto"/>
          <w:sz w:val="22"/>
          <w:szCs w:val="22"/>
        </w:rPr>
        <w:t xml:space="preserve">La OPS ha estado publicando Alertas y Actualizaciones Epidemiológicas sobre el nuevo coronavirus desde el 16 de enero. </w:t>
      </w:r>
    </w:p>
    <w:p w14:paraId="348C80F8" w14:textId="77777777" w:rsidR="00C5261D" w:rsidRDefault="00C5261D" w:rsidP="00C5261D">
      <w:pPr>
        <w:pStyle w:val="Default"/>
        <w:jc w:val="both"/>
        <w:rPr>
          <w:rFonts w:ascii="Times New Roman" w:hAnsi="Times New Roman"/>
          <w:bCs/>
          <w:color w:val="auto"/>
          <w:sz w:val="22"/>
          <w:szCs w:val="22"/>
        </w:rPr>
      </w:pPr>
    </w:p>
    <w:p w14:paraId="0D3C6810" w14:textId="77777777" w:rsidR="007D2752" w:rsidRPr="005052D9" w:rsidRDefault="0005434C" w:rsidP="00C5261D">
      <w:pPr>
        <w:pStyle w:val="Default"/>
        <w:ind w:firstLine="720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>
        <w:rPr>
          <w:rFonts w:ascii="Times New Roman" w:hAnsi="Times New Roman"/>
          <w:bCs/>
          <w:color w:val="auto"/>
          <w:sz w:val="22"/>
          <w:szCs w:val="22"/>
        </w:rPr>
        <w:t xml:space="preserve">El 17 de enero de 2020, la Oficina Sanitaria Panamericana activó un mecanismo de respuesta mediante el cual toda la OPS brindaría asistencia técnica a los 51 países y territorios de las Américas para hacer frente y mitigar el impacto de la pandemia por COVID-19. </w:t>
      </w:r>
    </w:p>
    <w:p w14:paraId="6170E99B" w14:textId="77777777" w:rsidR="00C5261D" w:rsidRDefault="00C5261D" w:rsidP="00C5261D">
      <w:pPr>
        <w:pStyle w:val="Default"/>
        <w:jc w:val="both"/>
        <w:rPr>
          <w:rFonts w:ascii="Times New Roman" w:hAnsi="Times New Roman"/>
          <w:bCs/>
          <w:color w:val="auto"/>
          <w:sz w:val="22"/>
          <w:szCs w:val="22"/>
        </w:rPr>
      </w:pPr>
    </w:p>
    <w:p w14:paraId="43BEB733" w14:textId="77777777" w:rsidR="00EC52AD" w:rsidRPr="005052D9" w:rsidRDefault="0005434C" w:rsidP="00C5261D">
      <w:pPr>
        <w:pStyle w:val="Default"/>
        <w:ind w:firstLine="720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>
        <w:rPr>
          <w:rFonts w:ascii="Times New Roman" w:hAnsi="Times New Roman"/>
          <w:bCs/>
          <w:color w:val="auto"/>
          <w:sz w:val="22"/>
          <w:szCs w:val="22"/>
        </w:rPr>
        <w:t>Se ha apoyado a los Estados Miembros en el fortalecimiento de sus planes nacionales de respuesta y análisis de deficiencias, vigilancia, detección de casos y rastreo de contactos; creación de capacidad de laboratorio mediante el suministro de equipos de pruebas y capacitación; prevención y control de infecciones, incluido el suministro de y capacitación en el uso de equipo de protección personal, gestión de casos y capacitación para la comunicación de riesgos.</w:t>
      </w:r>
    </w:p>
    <w:p w14:paraId="0686FBD8" w14:textId="77777777" w:rsidR="00C5261D" w:rsidRDefault="00C5261D" w:rsidP="00C5261D">
      <w:pPr>
        <w:pStyle w:val="Default"/>
        <w:jc w:val="both"/>
        <w:rPr>
          <w:rFonts w:ascii="Times New Roman" w:hAnsi="Times New Roman"/>
          <w:bCs/>
          <w:color w:val="auto"/>
          <w:sz w:val="22"/>
          <w:szCs w:val="22"/>
        </w:rPr>
      </w:pPr>
    </w:p>
    <w:p w14:paraId="0378388E" w14:textId="77777777" w:rsidR="007D2752" w:rsidRDefault="0005434C" w:rsidP="00C5261D">
      <w:pPr>
        <w:pStyle w:val="Default"/>
        <w:ind w:firstLine="720"/>
        <w:jc w:val="both"/>
        <w:rPr>
          <w:rFonts w:ascii="Times New Roman" w:hAnsi="Times New Roman"/>
          <w:bCs/>
          <w:color w:val="auto"/>
          <w:sz w:val="22"/>
          <w:szCs w:val="22"/>
        </w:rPr>
      </w:pPr>
      <w:r>
        <w:rPr>
          <w:rFonts w:ascii="Times New Roman" w:hAnsi="Times New Roman"/>
          <w:bCs/>
          <w:color w:val="auto"/>
          <w:sz w:val="22"/>
          <w:szCs w:val="22"/>
        </w:rPr>
        <w:t xml:space="preserve">La labor de la OPS se guía por cuatro objetivos clave de su Estrategia de Respuesta Regional: </w:t>
      </w:r>
    </w:p>
    <w:p w14:paraId="361E6412" w14:textId="77777777" w:rsidR="00C5261D" w:rsidRPr="005052D9" w:rsidRDefault="00C5261D" w:rsidP="00C5261D">
      <w:pPr>
        <w:pStyle w:val="Default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p w14:paraId="46F1E121" w14:textId="77777777" w:rsidR="007D2752" w:rsidRDefault="0005434C" w:rsidP="00C5261D">
      <w:pPr>
        <w:pStyle w:val="Default"/>
        <w:numPr>
          <w:ilvl w:val="0"/>
          <w:numId w:val="20"/>
        </w:numPr>
        <w:tabs>
          <w:tab w:val="left" w:pos="1440"/>
          <w:tab w:val="left" w:pos="2160"/>
        </w:tabs>
        <w:ind w:left="1440" w:hanging="720"/>
        <w:jc w:val="both"/>
        <w:rPr>
          <w:rFonts w:ascii="Times New Roman" w:hAnsi="Times New Roman"/>
          <w:bCs/>
          <w:color w:val="auto"/>
          <w:sz w:val="22"/>
          <w:szCs w:val="22"/>
        </w:rPr>
      </w:pPr>
      <w:r>
        <w:rPr>
          <w:rFonts w:ascii="Times New Roman" w:hAnsi="Times New Roman"/>
          <w:bCs/>
          <w:color w:val="auto"/>
          <w:sz w:val="22"/>
          <w:szCs w:val="22"/>
        </w:rPr>
        <w:t>Asegurar el suministro de información en tiempo real a los países y una coordinación eficiente de las operaciones de respuesta a los niveles nacional y regional</w:t>
      </w:r>
      <w:r w:rsidR="004C1D41">
        <w:rPr>
          <w:rFonts w:ascii="Times New Roman" w:hAnsi="Times New Roman"/>
          <w:bCs/>
          <w:color w:val="auto"/>
          <w:sz w:val="22"/>
          <w:szCs w:val="22"/>
        </w:rPr>
        <w:t>.</w:t>
      </w:r>
    </w:p>
    <w:p w14:paraId="4856799E" w14:textId="77777777" w:rsidR="00C5261D" w:rsidRPr="005052D9" w:rsidRDefault="00C5261D" w:rsidP="00C5261D">
      <w:pPr>
        <w:pStyle w:val="Default"/>
        <w:tabs>
          <w:tab w:val="left" w:pos="1440"/>
          <w:tab w:val="left" w:pos="2160"/>
        </w:tabs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p w14:paraId="388478F1" w14:textId="77777777" w:rsidR="007D2752" w:rsidRDefault="0005434C" w:rsidP="00C5261D">
      <w:pPr>
        <w:pStyle w:val="Default"/>
        <w:numPr>
          <w:ilvl w:val="0"/>
          <w:numId w:val="20"/>
        </w:numPr>
        <w:tabs>
          <w:tab w:val="left" w:pos="1440"/>
          <w:tab w:val="left" w:pos="2160"/>
        </w:tabs>
        <w:ind w:left="1440" w:hanging="720"/>
        <w:jc w:val="both"/>
        <w:rPr>
          <w:rFonts w:ascii="Times New Roman" w:hAnsi="Times New Roman"/>
          <w:bCs/>
          <w:color w:val="auto"/>
          <w:sz w:val="22"/>
          <w:szCs w:val="22"/>
        </w:rPr>
      </w:pPr>
      <w:r>
        <w:rPr>
          <w:rFonts w:ascii="Times New Roman" w:hAnsi="Times New Roman"/>
          <w:bCs/>
          <w:color w:val="auto"/>
          <w:sz w:val="22"/>
          <w:szCs w:val="22"/>
        </w:rPr>
        <w:t>Limitar la transmisión de persona a persona, lo que incluye reducir las infecciones secundarias entre contactos estrechos y los trabajadores de salud, y prevenir los eventos que amplifican la transmisión.</w:t>
      </w:r>
    </w:p>
    <w:p w14:paraId="4D208786" w14:textId="77777777" w:rsidR="00C5261D" w:rsidRPr="005052D9" w:rsidRDefault="00C5261D" w:rsidP="00C5261D">
      <w:pPr>
        <w:pStyle w:val="Default"/>
        <w:tabs>
          <w:tab w:val="left" w:pos="1440"/>
          <w:tab w:val="left" w:pos="2160"/>
        </w:tabs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p w14:paraId="73FBEE94" w14:textId="77777777" w:rsidR="007D2752" w:rsidRPr="005052D9" w:rsidRDefault="0005434C" w:rsidP="00C5261D">
      <w:pPr>
        <w:pStyle w:val="Default"/>
        <w:tabs>
          <w:tab w:val="left" w:pos="1440"/>
          <w:tab w:val="left" w:pos="2160"/>
        </w:tabs>
        <w:ind w:left="1440" w:hanging="720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>
        <w:rPr>
          <w:rFonts w:ascii="Times New Roman" w:hAnsi="Times New Roman"/>
          <w:bCs/>
          <w:color w:val="auto"/>
          <w:sz w:val="22"/>
          <w:szCs w:val="22"/>
        </w:rPr>
        <w:t>3</w:t>
      </w:r>
      <w:r w:rsidR="006052BC">
        <w:rPr>
          <w:rFonts w:ascii="Times New Roman" w:hAnsi="Times New Roman"/>
          <w:bCs/>
          <w:color w:val="auto"/>
          <w:sz w:val="22"/>
          <w:szCs w:val="22"/>
        </w:rPr>
        <w:t>.</w:t>
      </w:r>
      <w:r w:rsidR="00C5261D">
        <w:rPr>
          <w:rFonts w:ascii="Times New Roman" w:hAnsi="Times New Roman"/>
          <w:bCs/>
          <w:color w:val="auto"/>
          <w:sz w:val="22"/>
          <w:szCs w:val="22"/>
        </w:rPr>
        <w:tab/>
      </w:r>
      <w:r>
        <w:rPr>
          <w:rFonts w:ascii="Times New Roman" w:hAnsi="Times New Roman"/>
          <w:bCs/>
          <w:color w:val="auto"/>
          <w:sz w:val="22"/>
          <w:szCs w:val="22"/>
        </w:rPr>
        <w:t>Detectar, aislar y atender a los pacientes de manera temprana, lo que incluye prestar atención optimizada a los pacientes con la infección; y</w:t>
      </w:r>
    </w:p>
    <w:p w14:paraId="22FC87DF" w14:textId="77777777" w:rsidR="007D2752" w:rsidRPr="005052D9" w:rsidRDefault="0005434C" w:rsidP="00C5261D">
      <w:pPr>
        <w:pStyle w:val="Default"/>
        <w:tabs>
          <w:tab w:val="left" w:pos="1440"/>
          <w:tab w:val="left" w:pos="2160"/>
        </w:tabs>
        <w:ind w:left="1440" w:hanging="720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>
        <w:rPr>
          <w:rFonts w:ascii="Times New Roman" w:hAnsi="Times New Roman"/>
          <w:bCs/>
          <w:color w:val="auto"/>
          <w:sz w:val="22"/>
          <w:szCs w:val="22"/>
        </w:rPr>
        <w:lastRenderedPageBreak/>
        <w:t>4</w:t>
      </w:r>
      <w:r w:rsidR="006052BC">
        <w:rPr>
          <w:rFonts w:ascii="Times New Roman" w:hAnsi="Times New Roman"/>
          <w:bCs/>
          <w:color w:val="auto"/>
          <w:sz w:val="22"/>
          <w:szCs w:val="22"/>
        </w:rPr>
        <w:t>.</w:t>
      </w:r>
      <w:r w:rsidR="00C5261D">
        <w:rPr>
          <w:rFonts w:ascii="Times New Roman" w:hAnsi="Times New Roman"/>
          <w:bCs/>
          <w:color w:val="auto"/>
          <w:sz w:val="22"/>
          <w:szCs w:val="22"/>
        </w:rPr>
        <w:tab/>
      </w:r>
      <w:r>
        <w:rPr>
          <w:rFonts w:ascii="Times New Roman" w:hAnsi="Times New Roman"/>
          <w:bCs/>
          <w:color w:val="auto"/>
          <w:sz w:val="22"/>
          <w:szCs w:val="22"/>
        </w:rPr>
        <w:t>Comunicar los principales riesgos y la información relativa al evento a todas las comunidades, y contrarrestar la información incorrecta.</w:t>
      </w:r>
    </w:p>
    <w:p w14:paraId="4CF54343" w14:textId="77777777" w:rsidR="004011E7" w:rsidRPr="005052D9" w:rsidRDefault="004011E7" w:rsidP="00C5261D">
      <w:pPr>
        <w:pStyle w:val="Default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p w14:paraId="78224597" w14:textId="77777777" w:rsidR="00212B65" w:rsidRPr="005052D9" w:rsidRDefault="0005434C" w:rsidP="00C5261D">
      <w:pPr>
        <w:pStyle w:val="Default"/>
        <w:ind w:firstLine="720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>
        <w:rPr>
          <w:rFonts w:ascii="Times New Roman" w:hAnsi="Times New Roman"/>
          <w:bCs/>
          <w:color w:val="auto"/>
          <w:sz w:val="22"/>
          <w:szCs w:val="22"/>
        </w:rPr>
        <w:t>Se han organizado reuniones en las que se brinda información actualizada a los ministros de salud, las misiones permanentes ante la OEA, las entidades subregionales, las Oficinas Nacionales de Gestión de Emergencias, los organismos de Naciones Unidas, colaboradores internacionales y medios de comunicación.</w:t>
      </w:r>
    </w:p>
    <w:p w14:paraId="55D4B368" w14:textId="77777777" w:rsidR="00C5261D" w:rsidRDefault="00C5261D" w:rsidP="00C5261D">
      <w:pPr>
        <w:pStyle w:val="Default"/>
        <w:jc w:val="both"/>
        <w:rPr>
          <w:rFonts w:ascii="Times New Roman" w:hAnsi="Times New Roman"/>
          <w:bCs/>
          <w:color w:val="auto"/>
          <w:sz w:val="22"/>
          <w:szCs w:val="22"/>
        </w:rPr>
      </w:pPr>
    </w:p>
    <w:p w14:paraId="5BF378DE" w14:textId="77777777" w:rsidR="007E5FB6" w:rsidRPr="005052D9" w:rsidRDefault="0005434C" w:rsidP="00C5261D">
      <w:pPr>
        <w:pStyle w:val="Default"/>
        <w:ind w:firstLine="720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>
        <w:rPr>
          <w:rFonts w:ascii="Times New Roman" w:hAnsi="Times New Roman"/>
          <w:bCs/>
          <w:color w:val="auto"/>
          <w:sz w:val="22"/>
          <w:szCs w:val="22"/>
        </w:rPr>
        <w:t xml:space="preserve">La OPS también ha proporcionado orientación, capacitación, suministros y equipo para vigilancia, laboratorio, prevención y control de infecciones, gestión clínica, preparación hospitalaria, comunicación de riesgos, </w:t>
      </w:r>
      <w:r w:rsidR="004C1D41">
        <w:rPr>
          <w:rFonts w:ascii="Times New Roman" w:hAnsi="Times New Roman"/>
          <w:bCs/>
          <w:color w:val="auto"/>
          <w:sz w:val="22"/>
          <w:szCs w:val="22"/>
        </w:rPr>
        <w:t xml:space="preserve">y </w:t>
      </w:r>
      <w:r>
        <w:rPr>
          <w:rFonts w:ascii="Times New Roman" w:hAnsi="Times New Roman"/>
          <w:bCs/>
          <w:color w:val="auto"/>
          <w:sz w:val="22"/>
          <w:szCs w:val="22"/>
        </w:rPr>
        <w:t>medidas adicionales de salud, entre otros.</w:t>
      </w:r>
    </w:p>
    <w:p w14:paraId="2670BF8E" w14:textId="77777777" w:rsidR="00212B65" w:rsidRPr="005052D9" w:rsidRDefault="00212B65" w:rsidP="00C5261D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4E717B6F" w14:textId="77777777" w:rsidR="00212B65" w:rsidRPr="005052D9" w:rsidRDefault="0005434C" w:rsidP="00C5261D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Desafíos</w:t>
      </w:r>
    </w:p>
    <w:p w14:paraId="72992AC9" w14:textId="77777777" w:rsidR="00C5261D" w:rsidRDefault="00C5261D" w:rsidP="00C5261D">
      <w:pPr>
        <w:pStyle w:val="Default"/>
        <w:jc w:val="both"/>
        <w:rPr>
          <w:rFonts w:ascii="Times New Roman" w:hAnsi="Times New Roman"/>
          <w:bCs/>
          <w:color w:val="auto"/>
          <w:sz w:val="22"/>
          <w:szCs w:val="22"/>
        </w:rPr>
      </w:pPr>
    </w:p>
    <w:p w14:paraId="790B5C93" w14:textId="77777777" w:rsidR="00283CB4" w:rsidRPr="005052D9" w:rsidRDefault="0005434C" w:rsidP="00C5261D">
      <w:pPr>
        <w:pStyle w:val="Default"/>
        <w:ind w:firstLine="720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>
        <w:rPr>
          <w:rFonts w:ascii="Times New Roman" w:hAnsi="Times New Roman"/>
          <w:bCs/>
          <w:color w:val="auto"/>
          <w:sz w:val="22"/>
          <w:szCs w:val="22"/>
        </w:rPr>
        <w:t>A falta de pruebas RT-PCR, muchos países están utilizando o comprando otro tipo de equipo de laboratorio, incluidos kits de pruebas rápidas. En general, estas pruebas rápidas pueden servir para detectar COVID-19, pero no deben utilizarse para descartar casos.</w:t>
      </w:r>
    </w:p>
    <w:p w14:paraId="43EB6179" w14:textId="77777777" w:rsidR="00C5261D" w:rsidRDefault="00C5261D" w:rsidP="00C5261D">
      <w:pPr>
        <w:pStyle w:val="Default"/>
        <w:jc w:val="both"/>
        <w:rPr>
          <w:rFonts w:ascii="Times New Roman" w:hAnsi="Times New Roman"/>
          <w:bCs/>
          <w:color w:val="auto"/>
          <w:sz w:val="22"/>
          <w:szCs w:val="22"/>
        </w:rPr>
      </w:pPr>
    </w:p>
    <w:p w14:paraId="3807325A" w14:textId="77777777" w:rsidR="00EA49F7" w:rsidRPr="005052D9" w:rsidRDefault="0005434C" w:rsidP="00C5261D">
      <w:pPr>
        <w:pStyle w:val="Default"/>
        <w:ind w:firstLine="720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>
        <w:rPr>
          <w:rFonts w:ascii="Times New Roman" w:hAnsi="Times New Roman"/>
          <w:bCs/>
          <w:color w:val="auto"/>
          <w:sz w:val="22"/>
          <w:szCs w:val="22"/>
        </w:rPr>
        <w:t xml:space="preserve">La grave escasez de equipos de protección personal está poniendo en riesgo a un mayor número de trabajadores de la salud, especialmente en aquellos países con sistemas de salud más débiles y en los que se observa un elevado aumento de casos. </w:t>
      </w:r>
    </w:p>
    <w:p w14:paraId="072386E8" w14:textId="77777777" w:rsidR="00C5261D" w:rsidRDefault="00C5261D" w:rsidP="00C5261D">
      <w:pPr>
        <w:pStyle w:val="Default"/>
        <w:jc w:val="both"/>
        <w:rPr>
          <w:rFonts w:ascii="Times New Roman" w:hAnsi="Times New Roman"/>
          <w:bCs/>
          <w:color w:val="auto"/>
          <w:sz w:val="22"/>
          <w:szCs w:val="22"/>
        </w:rPr>
      </w:pPr>
    </w:p>
    <w:p w14:paraId="78FB2E72" w14:textId="77777777" w:rsidR="00733D8B" w:rsidRPr="005052D9" w:rsidRDefault="0005434C" w:rsidP="00C5261D">
      <w:pPr>
        <w:pStyle w:val="Default"/>
        <w:ind w:firstLine="720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>
        <w:rPr>
          <w:rFonts w:ascii="Times New Roman" w:hAnsi="Times New Roman"/>
          <w:bCs/>
          <w:color w:val="auto"/>
          <w:sz w:val="22"/>
          <w:szCs w:val="22"/>
        </w:rPr>
        <w:t>Los países con sistemas de salud ya débiles corren un riesgo particular. Los sistemas de salud de la región están fragmentados y segmentados en su mayor parte, con marcadas diferencias en los niveles de acceso para la población de escasos recursos y en condiciones de vulnerabilidad. La protección social es variable en toda la región.</w:t>
      </w:r>
    </w:p>
    <w:p w14:paraId="5731C625" w14:textId="77777777" w:rsidR="00C5261D" w:rsidRDefault="00C5261D" w:rsidP="00C5261D">
      <w:pPr>
        <w:pStyle w:val="Default"/>
        <w:jc w:val="both"/>
        <w:rPr>
          <w:rFonts w:ascii="Times New Roman" w:hAnsi="Times New Roman"/>
          <w:bCs/>
          <w:color w:val="auto"/>
          <w:sz w:val="22"/>
          <w:szCs w:val="22"/>
        </w:rPr>
      </w:pPr>
    </w:p>
    <w:p w14:paraId="2B8B6783" w14:textId="77777777" w:rsidR="00490C93" w:rsidRPr="005052D9" w:rsidRDefault="0005434C" w:rsidP="00C5261D">
      <w:pPr>
        <w:pStyle w:val="Default"/>
        <w:ind w:firstLine="720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>
        <w:rPr>
          <w:rFonts w:ascii="Times New Roman" w:hAnsi="Times New Roman"/>
          <w:bCs/>
          <w:color w:val="auto"/>
          <w:sz w:val="22"/>
          <w:szCs w:val="22"/>
        </w:rPr>
        <w:t>Otro gran desafío para algunos países es la escasa disponibilidad de respiradores artificiales para el tratamiento de pacientes en estados grave y crítico, y el limitado número de profesionales de la salud capacitados en el manejo de tales equipos.</w:t>
      </w:r>
    </w:p>
    <w:p w14:paraId="1E0EDFEA" w14:textId="77777777" w:rsidR="00C5261D" w:rsidRDefault="00C5261D" w:rsidP="00C5261D">
      <w:pPr>
        <w:pStyle w:val="Default"/>
        <w:jc w:val="both"/>
        <w:rPr>
          <w:rFonts w:ascii="Times New Roman" w:hAnsi="Times New Roman"/>
          <w:bCs/>
          <w:color w:val="auto"/>
          <w:sz w:val="22"/>
          <w:szCs w:val="22"/>
        </w:rPr>
      </w:pPr>
    </w:p>
    <w:p w14:paraId="3BB0C6E2" w14:textId="77777777" w:rsidR="00B20A30" w:rsidRPr="005052D9" w:rsidRDefault="0005434C" w:rsidP="00C5261D">
      <w:pPr>
        <w:pStyle w:val="Default"/>
        <w:ind w:firstLine="720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>
        <w:rPr>
          <w:rFonts w:ascii="Times New Roman" w:hAnsi="Times New Roman"/>
          <w:bCs/>
          <w:color w:val="auto"/>
          <w:sz w:val="22"/>
          <w:szCs w:val="22"/>
        </w:rPr>
        <w:t>Las restricciones a los viajes internacionales están afectando la entrega de medicamentos contra la COVID-19 y otras enfermedades, kits de laboratorio, equipos de protección personal, vacunas y otros suministros.</w:t>
      </w:r>
    </w:p>
    <w:p w14:paraId="07CAB2C2" w14:textId="77777777" w:rsidR="007D2752" w:rsidRPr="005052D9" w:rsidRDefault="007D2752" w:rsidP="00C5261D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06386A1D" w14:textId="77777777" w:rsidR="007D2752" w:rsidRPr="005052D9" w:rsidRDefault="0005434C" w:rsidP="00C5261D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Observaciones finales</w:t>
      </w:r>
    </w:p>
    <w:p w14:paraId="3D4B7F66" w14:textId="77777777" w:rsidR="00C5261D" w:rsidRDefault="00C5261D" w:rsidP="00C5261D">
      <w:pPr>
        <w:pStyle w:val="Default"/>
        <w:jc w:val="both"/>
        <w:rPr>
          <w:rFonts w:ascii="Times New Roman" w:hAnsi="Times New Roman"/>
          <w:bCs/>
          <w:color w:val="auto"/>
          <w:sz w:val="22"/>
          <w:szCs w:val="22"/>
        </w:rPr>
      </w:pPr>
    </w:p>
    <w:p w14:paraId="146353FC" w14:textId="77777777" w:rsidR="007D2752" w:rsidRPr="005052D9" w:rsidRDefault="0005434C" w:rsidP="00C5261D">
      <w:pPr>
        <w:pStyle w:val="Default"/>
        <w:ind w:firstLine="720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>
        <w:rPr>
          <w:rFonts w:ascii="Times New Roman" w:hAnsi="Times New Roman"/>
          <w:bCs/>
          <w:color w:val="auto"/>
          <w:sz w:val="22"/>
          <w:szCs w:val="22"/>
        </w:rPr>
        <w:t>La crisis generada por la COVID-19 es uno de los mayores desafíos a los que nos hemos enfrentado y exige una respuesta coordinada e inmediata, así como el máximo apoyo financiero y técnico para las personas y países más pobres y vulnerables.</w:t>
      </w:r>
    </w:p>
    <w:p w14:paraId="41999B8D" w14:textId="77777777" w:rsidR="00C5261D" w:rsidRDefault="00C5261D" w:rsidP="00C5261D">
      <w:pPr>
        <w:pStyle w:val="Default"/>
        <w:jc w:val="both"/>
        <w:rPr>
          <w:rFonts w:ascii="Times New Roman" w:hAnsi="Times New Roman"/>
          <w:bCs/>
          <w:color w:val="auto"/>
          <w:sz w:val="22"/>
          <w:szCs w:val="22"/>
        </w:rPr>
      </w:pPr>
    </w:p>
    <w:p w14:paraId="3CF1421F" w14:textId="77777777" w:rsidR="007D2752" w:rsidRPr="005052D9" w:rsidRDefault="00147670" w:rsidP="00C5261D">
      <w:pPr>
        <w:pStyle w:val="Default"/>
        <w:ind w:firstLine="720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>
        <w:rPr>
          <w:rFonts w:ascii="Times New Roman" w:hAnsi="Times New Roman"/>
          <w:bCs/>
          <w:color w:val="auto"/>
          <w:sz w:val="22"/>
          <w:szCs w:val="22"/>
        </w:rPr>
        <w:t>L</w:t>
      </w:r>
      <w:r w:rsidR="0005434C">
        <w:rPr>
          <w:rFonts w:ascii="Times New Roman" w:hAnsi="Times New Roman"/>
          <w:bCs/>
          <w:color w:val="auto"/>
          <w:sz w:val="22"/>
          <w:szCs w:val="22"/>
        </w:rPr>
        <w:t xml:space="preserve">os sistemas de salud </w:t>
      </w:r>
      <w:r>
        <w:rPr>
          <w:rFonts w:ascii="Times New Roman" w:hAnsi="Times New Roman"/>
          <w:bCs/>
          <w:color w:val="auto"/>
          <w:sz w:val="22"/>
          <w:szCs w:val="22"/>
        </w:rPr>
        <w:t>de</w:t>
      </w:r>
      <w:r w:rsidR="0005434C">
        <w:rPr>
          <w:rFonts w:ascii="Times New Roman" w:hAnsi="Times New Roman"/>
          <w:bCs/>
          <w:color w:val="auto"/>
          <w:sz w:val="22"/>
          <w:szCs w:val="22"/>
        </w:rPr>
        <w:t xml:space="preserve"> casi todo el mundo</w:t>
      </w:r>
      <w:r>
        <w:rPr>
          <w:rFonts w:ascii="Times New Roman" w:hAnsi="Times New Roman"/>
          <w:bCs/>
          <w:color w:val="auto"/>
          <w:sz w:val="22"/>
          <w:szCs w:val="22"/>
        </w:rPr>
        <w:t xml:space="preserve"> están siendo sometidos a una fuerte presión</w:t>
      </w:r>
      <w:r w:rsidR="002811DD">
        <w:rPr>
          <w:rFonts w:ascii="Times New Roman" w:hAnsi="Times New Roman"/>
          <w:bCs/>
          <w:color w:val="auto"/>
          <w:sz w:val="22"/>
          <w:szCs w:val="22"/>
        </w:rPr>
        <w:t>. Y</w:t>
      </w:r>
      <w:r w:rsidR="0005434C">
        <w:rPr>
          <w:rFonts w:ascii="Times New Roman" w:hAnsi="Times New Roman"/>
          <w:bCs/>
          <w:color w:val="auto"/>
          <w:sz w:val="22"/>
          <w:szCs w:val="22"/>
        </w:rPr>
        <w:t xml:space="preserve"> al tiempo que hacemos frente a la COVID-19, no podemos dejar de atender los servicios de salud esenciales.</w:t>
      </w:r>
    </w:p>
    <w:p w14:paraId="0E826732" w14:textId="77777777" w:rsidR="008101CE" w:rsidRDefault="008101CE" w:rsidP="00C5261D">
      <w:pPr>
        <w:pStyle w:val="Default"/>
        <w:jc w:val="both"/>
        <w:rPr>
          <w:rFonts w:ascii="Times New Roman" w:hAnsi="Times New Roman"/>
          <w:bCs/>
          <w:color w:val="auto"/>
          <w:sz w:val="22"/>
          <w:szCs w:val="22"/>
        </w:rPr>
      </w:pPr>
    </w:p>
    <w:p w14:paraId="3BBDAB07" w14:textId="77777777" w:rsidR="007D2752" w:rsidRPr="005052D9" w:rsidRDefault="0005434C" w:rsidP="008101CE">
      <w:pPr>
        <w:pStyle w:val="Default"/>
        <w:ind w:firstLine="720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>
        <w:rPr>
          <w:rFonts w:ascii="Times New Roman" w:hAnsi="Times New Roman"/>
          <w:bCs/>
          <w:color w:val="auto"/>
          <w:sz w:val="22"/>
          <w:szCs w:val="22"/>
        </w:rPr>
        <w:t xml:space="preserve">La COVID-19 podría tener graves consecuencias sociales, económicas y políticas, especialmente para los más vulnerables. Pedimos a los Gobiernos que adopten medidas de bienestar </w:t>
      </w:r>
      <w:r>
        <w:rPr>
          <w:rFonts w:ascii="Times New Roman" w:hAnsi="Times New Roman"/>
          <w:bCs/>
          <w:color w:val="auto"/>
          <w:sz w:val="22"/>
          <w:szCs w:val="22"/>
        </w:rPr>
        <w:lastRenderedPageBreak/>
        <w:t xml:space="preserve">social a fin de garantizar que las personas </w:t>
      </w:r>
      <w:r w:rsidR="00992B9F">
        <w:rPr>
          <w:rFonts w:ascii="Times New Roman" w:hAnsi="Times New Roman"/>
          <w:bCs/>
          <w:color w:val="auto"/>
          <w:sz w:val="22"/>
          <w:szCs w:val="22"/>
        </w:rPr>
        <w:t xml:space="preserve">en situación de </w:t>
      </w:r>
      <w:r>
        <w:rPr>
          <w:rFonts w:ascii="Times New Roman" w:hAnsi="Times New Roman"/>
          <w:bCs/>
          <w:color w:val="auto"/>
          <w:sz w:val="22"/>
          <w:szCs w:val="22"/>
        </w:rPr>
        <w:t>vulnerab</w:t>
      </w:r>
      <w:r w:rsidR="00992B9F">
        <w:rPr>
          <w:rFonts w:ascii="Times New Roman" w:hAnsi="Times New Roman"/>
          <w:bCs/>
          <w:color w:val="auto"/>
          <w:sz w:val="22"/>
          <w:szCs w:val="22"/>
        </w:rPr>
        <w:t>ilidad</w:t>
      </w:r>
      <w:r>
        <w:rPr>
          <w:rFonts w:ascii="Times New Roman" w:hAnsi="Times New Roman"/>
          <w:bCs/>
          <w:color w:val="auto"/>
          <w:sz w:val="22"/>
          <w:szCs w:val="22"/>
        </w:rPr>
        <w:t xml:space="preserve"> tengan acceso a servicios de salud, alimentos y otros elementos esenciales para la vida durante esta crisis.</w:t>
      </w:r>
    </w:p>
    <w:p w14:paraId="7656F86B" w14:textId="77777777" w:rsidR="008101CE" w:rsidRDefault="008101CE" w:rsidP="00C5261D">
      <w:pPr>
        <w:pStyle w:val="Default"/>
        <w:jc w:val="both"/>
        <w:rPr>
          <w:rFonts w:ascii="Times New Roman" w:hAnsi="Times New Roman"/>
          <w:bCs/>
          <w:color w:val="auto"/>
          <w:sz w:val="22"/>
          <w:szCs w:val="22"/>
        </w:rPr>
      </w:pPr>
    </w:p>
    <w:p w14:paraId="018508A7" w14:textId="3ED5BB7D" w:rsidR="007D2752" w:rsidRPr="005052D9" w:rsidRDefault="008B5A6E" w:rsidP="008101CE">
      <w:pPr>
        <w:pStyle w:val="Default"/>
        <w:ind w:firstLine="720"/>
        <w:jc w:val="both"/>
        <w:rPr>
          <w:rFonts w:ascii="Times New Roman" w:hAnsi="Times New Roman" w:cs="Times New Roman"/>
          <w:bCs/>
          <w:color w:val="auto"/>
          <w:sz w:val="22"/>
          <w:szCs w:val="22"/>
          <w:highlight w:val="magenta"/>
        </w:rPr>
      </w:pPr>
      <w:r>
        <w:rPr>
          <w:rFonts w:ascii="Times New Roman" w:hAnsi="Times New Roman"/>
          <w:bCs/>
          <w:noProof/>
          <w:color w:val="auto"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6F4B934E" wp14:editId="626103A5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3810" t="0" r="381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AC9597" w14:textId="77777777" w:rsidR="008101CE" w:rsidRPr="008101CE" w:rsidRDefault="008101CE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 w:rsidR="0067792C"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CMBRS01772S05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2pt;margin-top:10in;width:266.4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4UtgIAALkFAAAOAAAAZHJzL2Uyb0RvYy54bWysVMlu2zAQvRfoPxC8K1pM25IQOUgsqyiQ&#10;LkDSD6AlyiIqkSpJW06D/nuHlLckl6KtDgLJGb5Z3uNc3+y7Fu2Y0lyKDIdXAUZMlLLiYpPhb4+F&#10;F2OkDRUVbaVgGX5iGt8s3r+7HvqURbKRbcUUAhCh06HPcGNMn/q+LhvWUX0leybAWEvVUQNbtfEr&#10;RQdA71o/CoKZP0hV9UqWTGs4zUcjXjj8umal+VLXmhnUZhhyM+6v3H9t//7imqYbRfuGl4c06F9k&#10;0VEuIOgJKqeGoq3ib6A6XiqpZW2uStn5sq55yVwNUE0YvKrmoaE9c7VAc3R/apP+f7Dl591XhXiV&#10;YYKRoB1Q9Mj2Bt3JPYpsd4Zep+D00IOb2cMxsOwq1f29LL9rJOSyoWLDbpWSQ8NoBdmF9qZ/cXXE&#10;0RZkPXySFYShWyMd0L5WnW0dNAMBOrD0dGLGplLC4WQST6IYTCXYoiieBY46n6bH273S5gOTHbKL&#10;DCtg3qHT3b02NhuaHl1sMCEL3raO/Va8OADH8QRiw1Vrs1k4Mp+TIFnFq5h4JJqtPBLkuXdbLIk3&#10;K8L5NJ/ky2Ue/rJxQ5I2vKqYsGGOwgrJnxF3kPgoiZO0tGx5ZeFsSlpt1stWoR0FYRfucz0Hy9nN&#10;f5mGawLU8qqkMCLBXZR4xSyee6QgUy+ZB7EXhMldMgtIQvLiZUn3XLB/LwkNGU6m0XQU0znpV7UF&#10;7ntbG007bmB0tLzLcHxyoqmV4EpUjlpDeTuuL1ph0z+3Aug+Eu0EazU6qtXs13tAsSpey+oJpKsk&#10;KAtECPMOFo1UPzEaYHZkWP/YUsUwaj8KkH8SEmKHjduQ6TyCjbq0rC8tVJQAlWGD0bhcmnFAbXvF&#10;Nw1EGh+ckLfwZGru1HzO6vDQYD64og6zzA6gy73zOk/cxW8AAAD//wMAUEsDBBQABgAIAAAAIQCi&#10;ImOP3gAAAA0BAAAPAAAAZHJzL2Rvd25yZXYueG1sTI/BTsMwEETvSPyDtUjcWjvILSXEqRCIK4gC&#10;lXpz420SEa+j2G3C37M90ePOPM3OFOvJd+KEQ2wDGcjmCgRSFVxLtYGvz9fZCkRMlpztAqGBX4yw&#10;Lq+vCpu7MNIHnjapFhxCMbcGmpT6XMpYNehtnIceib1DGLxNfA61dIMdOdx38k6ppfS2Jf7Q2B6f&#10;G6x+Nkdv4PvtsNtq9V6/+EU/hklJ8g/SmNub6ekRRMIp/cNwrs/VoeRO+3AkF0VnYJZpzSgbWite&#10;xcgiW7G0P0v3SwWyLOTlivIPAAD//wMAUEsBAi0AFAAGAAgAAAAhALaDOJL+AAAA4QEAABMAAAAA&#10;AAAAAAAAAAAAAAAAAFtDb250ZW50X1R5cGVzXS54bWxQSwECLQAUAAYACAAAACEAOP0h/9YAAACU&#10;AQAACwAAAAAAAAAAAAAAAAAvAQAAX3JlbHMvLnJlbHNQSwECLQAUAAYACAAAACEAMzg+FLYCAAC5&#10;BQAADgAAAAAAAAAAAAAAAAAuAgAAZHJzL2Uyb0RvYy54bWxQSwECLQAUAAYACAAAACEAoiJjj94A&#10;AAANAQAADwAAAAAAAAAAAAAAAAAQBQAAZHJzL2Rvd25yZXYueG1sUEsFBgAAAAAEAAQA8wAAABsG&#10;AAAAAA==&#10;" filled="f" stroked="f">
                <v:textbox>
                  <w:txbxContent>
                    <w:p w14:paraId="17AC9597" w14:textId="77777777" w:rsidR="008101CE" w:rsidRPr="008101CE" w:rsidRDefault="008101CE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 w:rsidR="0067792C">
                        <w:rPr>
                          <w:rFonts w:ascii="Times New Roman" w:hAnsi="Times New Roman"/>
                          <w:noProof/>
                          <w:sz w:val="18"/>
                        </w:rPr>
                        <w:t>CMBRS01772S05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05434C">
        <w:rPr>
          <w:rFonts w:ascii="Times New Roman" w:hAnsi="Times New Roman"/>
          <w:bCs/>
          <w:color w:val="auto"/>
          <w:sz w:val="22"/>
          <w:szCs w:val="22"/>
        </w:rPr>
        <w:t>Hoy más que nunca se tornan esenciales la solidaridad regional y el trabajo conjunto para superar este enorme desafío.</w:t>
      </w:r>
    </w:p>
    <w:sectPr w:rsidR="007D2752" w:rsidRPr="005052D9" w:rsidSect="005052D9">
      <w:headerReference w:type="default" r:id="rId12"/>
      <w:headerReference w:type="first" r:id="rId13"/>
      <w:pgSz w:w="12240" w:h="15840"/>
      <w:pgMar w:top="2160" w:right="1570" w:bottom="1296" w:left="1699" w:header="720" w:footer="720" w:gutter="0"/>
      <w:pgNumType w:fmt="numberInDash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D003A4" w14:textId="77777777" w:rsidR="001C21DC" w:rsidRDefault="001C21DC">
      <w:pPr>
        <w:spacing w:after="0" w:line="240" w:lineRule="auto"/>
      </w:pPr>
      <w:r>
        <w:separator/>
      </w:r>
    </w:p>
  </w:endnote>
  <w:endnote w:type="continuationSeparator" w:id="0">
    <w:p w14:paraId="6AB11D79" w14:textId="77777777" w:rsidR="001C21DC" w:rsidRDefault="001C2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5F0C39" w14:textId="77777777" w:rsidR="001C21DC" w:rsidRDefault="001C21DC">
      <w:pPr>
        <w:spacing w:after="0" w:line="240" w:lineRule="auto"/>
      </w:pPr>
      <w:r>
        <w:separator/>
      </w:r>
    </w:p>
  </w:footnote>
  <w:footnote w:type="continuationSeparator" w:id="0">
    <w:p w14:paraId="144C74BD" w14:textId="77777777" w:rsidR="001C21DC" w:rsidRDefault="001C21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29E0A2" w14:textId="77777777" w:rsidR="005052D9" w:rsidRDefault="0005434C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B5A6E">
      <w:rPr>
        <w:noProof/>
      </w:rPr>
      <w:t>- 4 -</w:t>
    </w:r>
    <w:r>
      <w:fldChar w:fldCharType="end"/>
    </w:r>
  </w:p>
  <w:p w14:paraId="509B7779" w14:textId="77777777" w:rsidR="00326C87" w:rsidRDefault="00326C8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29644B" w14:textId="07773FC5" w:rsidR="00326C87" w:rsidRDefault="008B5A6E" w:rsidP="00C5261D">
    <w:pPr>
      <w:pStyle w:val="Header"/>
      <w:jc w:val="right"/>
    </w:pPr>
    <w:r>
      <w:rPr>
        <w:noProof/>
        <w:lang w:val="en-US"/>
      </w:rPr>
      <w:drawing>
        <wp:anchor distT="0" distB="0" distL="114300" distR="114300" simplePos="0" relativeHeight="251657728" behindDoc="0" locked="0" layoutInCell="1" allowOverlap="1" wp14:anchorId="5002CF3F" wp14:editId="4609F7E1">
          <wp:simplePos x="0" y="0"/>
          <wp:positionH relativeFrom="column">
            <wp:posOffset>3175</wp:posOffset>
          </wp:positionH>
          <wp:positionV relativeFrom="paragraph">
            <wp:posOffset>-165100</wp:posOffset>
          </wp:positionV>
          <wp:extent cx="990600" cy="1238250"/>
          <wp:effectExtent l="0" t="0" r="0" b="0"/>
          <wp:wrapSquare wrapText="bothSides"/>
          <wp:docPr id="2" name="Picture 1" descr="OEA-ESP-Vert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EA-ESP-Vert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/>
        <w:noProof/>
        <w:sz w:val="24"/>
        <w:szCs w:val="24"/>
        <w:lang w:val="en-US"/>
      </w:rPr>
      <w:drawing>
        <wp:inline distT="0" distB="0" distL="0" distR="0" wp14:anchorId="16D5806D" wp14:editId="3E69E99C">
          <wp:extent cx="1122680" cy="1026160"/>
          <wp:effectExtent l="0" t="0" r="1270" b="2540"/>
          <wp:docPr id="1" name="Picture 1" descr="C:\Users\asantos\AppData\Local\Microsoft\Windows\INetCache\Content.Outlook\U8BCDAZA\es_vii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santos\AppData\Local\Microsoft\Windows\INetCache\Content.Outlook\U8BCDAZA\es_vii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579"/>
                  <a:stretch>
                    <a:fillRect/>
                  </a:stretch>
                </pic:blipFill>
                <pic:spPr bwMode="auto">
                  <a:xfrm>
                    <a:off x="0" y="0"/>
                    <a:ext cx="1122680" cy="1026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B7CDF88"/>
    <w:multiLevelType w:val="hybridMultilevel"/>
    <w:tmpl w:val="A0D15F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06B9EF"/>
    <w:multiLevelType w:val="hybridMultilevel"/>
    <w:tmpl w:val="A308A2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E460DA"/>
    <w:multiLevelType w:val="hybridMultilevel"/>
    <w:tmpl w:val="B6266F7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58B2576"/>
    <w:multiLevelType w:val="hybridMultilevel"/>
    <w:tmpl w:val="D120380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A4423ED"/>
    <w:multiLevelType w:val="hybridMultilevel"/>
    <w:tmpl w:val="FBF4476A"/>
    <w:lvl w:ilvl="0" w:tplc="014893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AEA10FF"/>
    <w:multiLevelType w:val="hybridMultilevel"/>
    <w:tmpl w:val="67082AF8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B5931A3"/>
    <w:multiLevelType w:val="hybridMultilevel"/>
    <w:tmpl w:val="E0F4991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23964F9"/>
    <w:multiLevelType w:val="hybridMultilevel"/>
    <w:tmpl w:val="6A56DF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997A229"/>
    <w:multiLevelType w:val="hybridMultilevel"/>
    <w:tmpl w:val="FEEA3A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0263526"/>
    <w:multiLevelType w:val="hybridMultilevel"/>
    <w:tmpl w:val="569646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F33A59"/>
    <w:multiLevelType w:val="hybridMultilevel"/>
    <w:tmpl w:val="11A68426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404AC1"/>
    <w:multiLevelType w:val="hybridMultilevel"/>
    <w:tmpl w:val="0CC09E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C0D7B5"/>
    <w:multiLevelType w:val="hybridMultilevel"/>
    <w:tmpl w:val="34C513A3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E236104"/>
    <w:multiLevelType w:val="hybridMultilevel"/>
    <w:tmpl w:val="29005364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D82EA6"/>
    <w:multiLevelType w:val="hybridMultilevel"/>
    <w:tmpl w:val="3F5E79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690948"/>
    <w:multiLevelType w:val="hybridMultilevel"/>
    <w:tmpl w:val="91C838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A37FAA"/>
    <w:multiLevelType w:val="hybridMultilevel"/>
    <w:tmpl w:val="CD9ED1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9D193D"/>
    <w:multiLevelType w:val="hybridMultilevel"/>
    <w:tmpl w:val="C2B04C12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753631"/>
    <w:multiLevelType w:val="hybridMultilevel"/>
    <w:tmpl w:val="72EC3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CD46B1"/>
    <w:multiLevelType w:val="hybridMultilevel"/>
    <w:tmpl w:val="948E980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7"/>
  </w:num>
  <w:num w:numId="3">
    <w:abstractNumId w:val="13"/>
  </w:num>
  <w:num w:numId="4">
    <w:abstractNumId w:val="14"/>
  </w:num>
  <w:num w:numId="5">
    <w:abstractNumId w:val="17"/>
  </w:num>
  <w:num w:numId="6">
    <w:abstractNumId w:val="0"/>
  </w:num>
  <w:num w:numId="7">
    <w:abstractNumId w:val="6"/>
  </w:num>
  <w:num w:numId="8">
    <w:abstractNumId w:val="12"/>
  </w:num>
  <w:num w:numId="9">
    <w:abstractNumId w:val="8"/>
  </w:num>
  <w:num w:numId="10">
    <w:abstractNumId w:val="9"/>
  </w:num>
  <w:num w:numId="11">
    <w:abstractNumId w:val="2"/>
  </w:num>
  <w:num w:numId="12">
    <w:abstractNumId w:val="3"/>
  </w:num>
  <w:num w:numId="13">
    <w:abstractNumId w:val="5"/>
  </w:num>
  <w:num w:numId="14">
    <w:abstractNumId w:val="11"/>
  </w:num>
  <w:num w:numId="15">
    <w:abstractNumId w:val="18"/>
  </w:num>
  <w:num w:numId="16">
    <w:abstractNumId w:val="16"/>
  </w:num>
  <w:num w:numId="17">
    <w:abstractNumId w:val="19"/>
  </w:num>
  <w:num w:numId="18">
    <w:abstractNumId w:val="15"/>
  </w:num>
  <w:num w:numId="19">
    <w:abstractNumId w:val="1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7F0"/>
    <w:rsid w:val="00004059"/>
    <w:rsid w:val="00024A61"/>
    <w:rsid w:val="0005412B"/>
    <w:rsid w:val="0005434C"/>
    <w:rsid w:val="00084356"/>
    <w:rsid w:val="000A62CE"/>
    <w:rsid w:val="000C67FA"/>
    <w:rsid w:val="000E289A"/>
    <w:rsid w:val="000F5E87"/>
    <w:rsid w:val="001442C2"/>
    <w:rsid w:val="00147670"/>
    <w:rsid w:val="00173EB3"/>
    <w:rsid w:val="00190901"/>
    <w:rsid w:val="0019138C"/>
    <w:rsid w:val="001B20C0"/>
    <w:rsid w:val="001C21DC"/>
    <w:rsid w:val="00212B65"/>
    <w:rsid w:val="00232F5E"/>
    <w:rsid w:val="0023312E"/>
    <w:rsid w:val="00233C42"/>
    <w:rsid w:val="0024759C"/>
    <w:rsid w:val="00253346"/>
    <w:rsid w:val="002811DD"/>
    <w:rsid w:val="00283CB4"/>
    <w:rsid w:val="002A5D86"/>
    <w:rsid w:val="002B5804"/>
    <w:rsid w:val="002D05E1"/>
    <w:rsid w:val="002F13DA"/>
    <w:rsid w:val="00304E58"/>
    <w:rsid w:val="00304F77"/>
    <w:rsid w:val="00326C87"/>
    <w:rsid w:val="00332EF4"/>
    <w:rsid w:val="003538A2"/>
    <w:rsid w:val="003B0B3F"/>
    <w:rsid w:val="003B1EBE"/>
    <w:rsid w:val="003B2D78"/>
    <w:rsid w:val="003E560E"/>
    <w:rsid w:val="004011E7"/>
    <w:rsid w:val="00425A2D"/>
    <w:rsid w:val="00427E2C"/>
    <w:rsid w:val="00443442"/>
    <w:rsid w:val="00462B53"/>
    <w:rsid w:val="00470707"/>
    <w:rsid w:val="00484DF1"/>
    <w:rsid w:val="00490C93"/>
    <w:rsid w:val="004B28F1"/>
    <w:rsid w:val="004C1D41"/>
    <w:rsid w:val="004C395F"/>
    <w:rsid w:val="004E208A"/>
    <w:rsid w:val="004E5B61"/>
    <w:rsid w:val="005052D9"/>
    <w:rsid w:val="005209FF"/>
    <w:rsid w:val="005233FD"/>
    <w:rsid w:val="0054343C"/>
    <w:rsid w:val="005435C8"/>
    <w:rsid w:val="00551753"/>
    <w:rsid w:val="005678B3"/>
    <w:rsid w:val="005840AA"/>
    <w:rsid w:val="00597834"/>
    <w:rsid w:val="005B1DE1"/>
    <w:rsid w:val="006052BC"/>
    <w:rsid w:val="00666741"/>
    <w:rsid w:val="0067792C"/>
    <w:rsid w:val="00680C3C"/>
    <w:rsid w:val="006B46CF"/>
    <w:rsid w:val="006D1F68"/>
    <w:rsid w:val="006D33CA"/>
    <w:rsid w:val="006D3A54"/>
    <w:rsid w:val="006E0ACB"/>
    <w:rsid w:val="00701807"/>
    <w:rsid w:val="00710558"/>
    <w:rsid w:val="00733D8B"/>
    <w:rsid w:val="007555E9"/>
    <w:rsid w:val="007B169D"/>
    <w:rsid w:val="007D2752"/>
    <w:rsid w:val="007E5FB6"/>
    <w:rsid w:val="008042D5"/>
    <w:rsid w:val="008101CE"/>
    <w:rsid w:val="008234EA"/>
    <w:rsid w:val="008B5A6E"/>
    <w:rsid w:val="008B64D7"/>
    <w:rsid w:val="008B6DF4"/>
    <w:rsid w:val="008D5B17"/>
    <w:rsid w:val="00910202"/>
    <w:rsid w:val="009567F1"/>
    <w:rsid w:val="0098405B"/>
    <w:rsid w:val="00991854"/>
    <w:rsid w:val="00992B9F"/>
    <w:rsid w:val="009F3E79"/>
    <w:rsid w:val="009F458C"/>
    <w:rsid w:val="009F7312"/>
    <w:rsid w:val="00A235D5"/>
    <w:rsid w:val="00A62EB4"/>
    <w:rsid w:val="00A958DC"/>
    <w:rsid w:val="00AA1B75"/>
    <w:rsid w:val="00AD6E4E"/>
    <w:rsid w:val="00AE1942"/>
    <w:rsid w:val="00B20A30"/>
    <w:rsid w:val="00B30A12"/>
    <w:rsid w:val="00B35C86"/>
    <w:rsid w:val="00B819D5"/>
    <w:rsid w:val="00BA34EF"/>
    <w:rsid w:val="00BA437F"/>
    <w:rsid w:val="00BB75B6"/>
    <w:rsid w:val="00BF1265"/>
    <w:rsid w:val="00BF2A97"/>
    <w:rsid w:val="00C00C59"/>
    <w:rsid w:val="00C02C73"/>
    <w:rsid w:val="00C5261D"/>
    <w:rsid w:val="00C55556"/>
    <w:rsid w:val="00C72786"/>
    <w:rsid w:val="00C91ED8"/>
    <w:rsid w:val="00CC31AB"/>
    <w:rsid w:val="00CC41CD"/>
    <w:rsid w:val="00D02975"/>
    <w:rsid w:val="00D32F12"/>
    <w:rsid w:val="00D547F0"/>
    <w:rsid w:val="00D66506"/>
    <w:rsid w:val="00D770E9"/>
    <w:rsid w:val="00DA0EB8"/>
    <w:rsid w:val="00DD5A73"/>
    <w:rsid w:val="00DE0C0E"/>
    <w:rsid w:val="00DF0C85"/>
    <w:rsid w:val="00E053E8"/>
    <w:rsid w:val="00E2366C"/>
    <w:rsid w:val="00E2758F"/>
    <w:rsid w:val="00E73F5F"/>
    <w:rsid w:val="00E868D4"/>
    <w:rsid w:val="00EA49F7"/>
    <w:rsid w:val="00EB53F9"/>
    <w:rsid w:val="00EC52AD"/>
    <w:rsid w:val="00F04BE0"/>
    <w:rsid w:val="00F07A79"/>
    <w:rsid w:val="00F326A7"/>
    <w:rsid w:val="00FB33D4"/>
    <w:rsid w:val="00FC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26235A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752"/>
    <w:pPr>
      <w:spacing w:after="200" w:line="276" w:lineRule="auto"/>
    </w:pPr>
    <w:rPr>
      <w:sz w:val="22"/>
      <w:szCs w:val="22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560E"/>
    <w:pPr>
      <w:ind w:left="720"/>
      <w:contextualSpacing/>
    </w:pPr>
  </w:style>
  <w:style w:type="paragraph" w:customStyle="1" w:styleId="Default">
    <w:name w:val="Default"/>
    <w:rsid w:val="00597834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s-ES"/>
    </w:rPr>
  </w:style>
  <w:style w:type="table" w:styleId="TableGrid">
    <w:name w:val="Table Grid"/>
    <w:basedOn w:val="TableNormal"/>
    <w:uiPriority w:val="59"/>
    <w:rsid w:val="002533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34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A34E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26C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6C87"/>
  </w:style>
  <w:style w:type="paragraph" w:styleId="Footer">
    <w:name w:val="footer"/>
    <w:basedOn w:val="Normal"/>
    <w:link w:val="FooterChar"/>
    <w:uiPriority w:val="99"/>
    <w:unhideWhenUsed/>
    <w:rsid w:val="00326C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6C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752"/>
    <w:pPr>
      <w:spacing w:after="200" w:line="276" w:lineRule="auto"/>
    </w:pPr>
    <w:rPr>
      <w:sz w:val="22"/>
      <w:szCs w:val="22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560E"/>
    <w:pPr>
      <w:ind w:left="720"/>
      <w:contextualSpacing/>
    </w:pPr>
  </w:style>
  <w:style w:type="paragraph" w:customStyle="1" w:styleId="Default">
    <w:name w:val="Default"/>
    <w:rsid w:val="00597834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s-ES"/>
    </w:rPr>
  </w:style>
  <w:style w:type="table" w:styleId="TableGrid">
    <w:name w:val="Table Grid"/>
    <w:basedOn w:val="TableNormal"/>
    <w:uiPriority w:val="59"/>
    <w:rsid w:val="002533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34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A34E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26C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6C87"/>
  </w:style>
  <w:style w:type="paragraph" w:styleId="Footer">
    <w:name w:val="footer"/>
    <w:basedOn w:val="Normal"/>
    <w:link w:val="FooterChar"/>
    <w:uiPriority w:val="99"/>
    <w:unhideWhenUsed/>
    <w:rsid w:val="00326C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6C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emf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8E684DBF2FB84BB951F42A6B0FC861" ma:contentTypeVersion="2" ma:contentTypeDescription="Create a new document." ma:contentTypeScope="" ma:versionID="b0fdd02ef96913f27891a12c99dfe7b7">
  <xsd:schema xmlns:xsd="http://www.w3.org/2001/XMLSchema" xmlns:xs="http://www.w3.org/2001/XMLSchema" xmlns:p="http://schemas.microsoft.com/office/2006/metadata/properties" xmlns:ns1="http://schemas.microsoft.com/sharepoint/v3" xmlns:ns2="89f4cd83-a2d3-4405-9b45-6aff5241ff81" targetNamespace="http://schemas.microsoft.com/office/2006/metadata/properties" ma:root="true" ma:fieldsID="035ebb9a2f44faf05c70baa707822c4d" ns1:_="" ns2:_="">
    <xsd:import namespace="http://schemas.microsoft.com/sharepoint/v3"/>
    <xsd:import namespace="89f4cd83-a2d3-4405-9b45-6aff5241ff8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f4cd83-a2d3-4405-9b45-6aff5241ff8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C08777D-A6F9-4C64-886C-6BAF5F2E3E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9f4cd83-a2d3-4405-9b45-6aff5241ff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E897BD-F18C-44A9-B7B3-DA2EC26434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F11378-1BA9-44EB-8EDE-35D44ED0F6D5}">
  <ds:schemaRefs>
    <ds:schemaRef ds:uri="http://purl.org/dc/elements/1.1/"/>
    <ds:schemaRef ds:uri="89f4cd83-a2d3-4405-9b45-6aff5241ff81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microsoft.com/sharepoint/v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1120</Words>
  <Characters>6385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Ugarte, Dr. Ciro (WDC)</dc:creator>
  <cp:lastModifiedBy>jmolina</cp:lastModifiedBy>
  <cp:revision>2</cp:revision>
  <cp:lastPrinted>1601-01-01T00:00:00Z</cp:lastPrinted>
  <dcterms:created xsi:type="dcterms:W3CDTF">2020-05-11T16:30:00Z</dcterms:created>
  <dcterms:modified xsi:type="dcterms:W3CDTF">2020-05-11T16:30:00Z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0x0101009E8E684DBF2FB84BB951F42A6B0FC861</vt:lpwstr>
  </property>
</Properties>
</file>